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1701"/>
      </w:tblGrid>
      <w:tr w:rsidR="00B02729">
        <w:trPr>
          <w:trHeight w:val="2007"/>
        </w:trPr>
        <w:tc>
          <w:tcPr>
            <w:tcW w:w="7621" w:type="dxa"/>
            <w:vAlign w:val="bottom"/>
          </w:tcPr>
          <w:p w:rsidR="00B02729" w:rsidRPr="004C4651" w:rsidRDefault="00B02729" w:rsidP="00105B73">
            <w:pPr>
              <w:rPr>
                <w:sz w:val="44"/>
                <w:szCs w:val="44"/>
              </w:rPr>
            </w:pPr>
            <w:r w:rsidRPr="004C4651">
              <w:rPr>
                <w:sz w:val="44"/>
                <w:szCs w:val="44"/>
              </w:rPr>
              <w:t>Stable identifiers for GBIF mediated data</w:t>
            </w:r>
          </w:p>
          <w:p w:rsidR="00B02729" w:rsidRPr="00105B73" w:rsidRDefault="00B02729" w:rsidP="00105B73">
            <w:r w:rsidRPr="004C4651">
              <w:t>Proposed</w:t>
            </w:r>
            <w:r>
              <w:t xml:space="preserve"> action</w:t>
            </w:r>
          </w:p>
        </w:tc>
        <w:tc>
          <w:tcPr>
            <w:tcW w:w="1701" w:type="dxa"/>
          </w:tcPr>
          <w:p w:rsidR="00B02729" w:rsidRDefault="00B02729" w:rsidP="00B02729">
            <w:pPr>
              <w:jc w:val="right"/>
              <w:rPr>
                <w:sz w:val="44"/>
                <w:szCs w:val="44"/>
              </w:rPr>
            </w:pPr>
            <w:r>
              <w:rPr>
                <w:noProof/>
                <w:sz w:val="44"/>
                <w:szCs w:val="44"/>
                <w:lang w:eastAsia="en-GB"/>
              </w:rPr>
              <w:drawing>
                <wp:inline distT="0" distB="0" distL="0" distR="0">
                  <wp:extent cx="911774" cy="1073150"/>
                  <wp:effectExtent l="19050" t="0" r="2626" b="0"/>
                  <wp:docPr id="5" name="Picture 4" descr="GBIFwww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www_2.gif"/>
                          <pic:cNvPicPr/>
                        </pic:nvPicPr>
                        <pic:blipFill>
                          <a:blip r:embed="rId8" cstate="print"/>
                          <a:stretch>
                            <a:fillRect/>
                          </a:stretch>
                        </pic:blipFill>
                        <pic:spPr>
                          <a:xfrm>
                            <a:off x="0" y="0"/>
                            <a:ext cx="913496" cy="1075177"/>
                          </a:xfrm>
                          <a:prstGeom prst="rect">
                            <a:avLst/>
                          </a:prstGeom>
                        </pic:spPr>
                      </pic:pic>
                    </a:graphicData>
                  </a:graphic>
                </wp:inline>
              </w:drawing>
            </w:r>
          </w:p>
        </w:tc>
      </w:tr>
    </w:tbl>
    <w:p w:rsidR="004C4651" w:rsidRDefault="004C4651" w:rsidP="009A5C61">
      <w:pPr>
        <w:spacing w:before="360" w:after="0"/>
        <w:rPr>
          <w:b/>
          <w:sz w:val="32"/>
          <w:szCs w:val="32"/>
        </w:rPr>
      </w:pPr>
      <w:r w:rsidRPr="004C4651">
        <w:rPr>
          <w:b/>
          <w:sz w:val="32"/>
          <w:szCs w:val="32"/>
        </w:rPr>
        <w:t>1.</w:t>
      </w:r>
      <w:r w:rsidR="00D60EAF">
        <w:rPr>
          <w:b/>
          <w:sz w:val="32"/>
          <w:szCs w:val="32"/>
        </w:rPr>
        <w:t xml:space="preserve"> </w:t>
      </w:r>
      <w:r w:rsidRPr="004C4651">
        <w:rPr>
          <w:b/>
          <w:sz w:val="32"/>
          <w:szCs w:val="32"/>
        </w:rPr>
        <w:t>Introduction</w:t>
      </w:r>
    </w:p>
    <w:p w:rsidR="004C4651" w:rsidRPr="00D60EAF" w:rsidRDefault="00372AB9" w:rsidP="00D60EAF">
      <w:pPr>
        <w:rPr>
          <w:sz w:val="24"/>
          <w:szCs w:val="24"/>
        </w:rPr>
      </w:pPr>
      <w:r>
        <w:t xml:space="preserve">In a global network such as GBIF’s, where data </w:t>
      </w:r>
      <w:r w:rsidR="000A1002">
        <w:t xml:space="preserve">from numerous dispersed </w:t>
      </w:r>
      <w:r>
        <w:t xml:space="preserve">sources are integrated and made discoverable and accessible for re-use, it is essential that </w:t>
      </w:r>
      <w:r w:rsidR="00D60EAF" w:rsidRPr="00D60EAF">
        <w:t>every data set and every record should have a stable identifier</w:t>
      </w:r>
      <w:r>
        <w:t xml:space="preserve"> that </w:t>
      </w:r>
      <w:r w:rsidR="00A04CF3">
        <w:t xml:space="preserve">is globally unique, </w:t>
      </w:r>
      <w:r w:rsidR="00E00747">
        <w:t>persistent</w:t>
      </w:r>
      <w:r w:rsidR="00A04CF3">
        <w:t xml:space="preserve"> and resolvable</w:t>
      </w:r>
      <w:r w:rsidR="00D60EAF" w:rsidRPr="00D60EAF">
        <w:t xml:space="preserve">. </w:t>
      </w:r>
    </w:p>
    <w:p w:rsidR="004C4651" w:rsidRDefault="004C4651" w:rsidP="00D60EAF">
      <w:pPr>
        <w:spacing w:before="360" w:after="0"/>
        <w:rPr>
          <w:b/>
          <w:sz w:val="32"/>
          <w:szCs w:val="32"/>
        </w:rPr>
      </w:pPr>
      <w:r w:rsidRPr="004C4651">
        <w:rPr>
          <w:b/>
          <w:sz w:val="32"/>
          <w:szCs w:val="32"/>
        </w:rPr>
        <w:t>2. Why do we need stable identifiers?</w:t>
      </w:r>
    </w:p>
    <w:p w:rsidR="00D60EAF" w:rsidRDefault="00D60EAF" w:rsidP="00D60EAF">
      <w:r>
        <w:t>T</w:t>
      </w:r>
      <w:r w:rsidRPr="00D60EAF">
        <w:t xml:space="preserve">here are </w:t>
      </w:r>
      <w:r w:rsidR="000A1002">
        <w:t>three</w:t>
      </w:r>
      <w:r w:rsidRPr="00D60EAF">
        <w:t xml:space="preserve"> main use cases for implementing </w:t>
      </w:r>
      <w:r w:rsidR="000A1002">
        <w:t xml:space="preserve">resolvable, </w:t>
      </w:r>
      <w:r w:rsidRPr="00D60EAF">
        <w:t>persistent identifiers for GBIF mediated data</w:t>
      </w:r>
      <w:r w:rsidR="000A1002">
        <w:t xml:space="preserve">: </w:t>
      </w:r>
      <w:proofErr w:type="spellStart"/>
      <w:r w:rsidR="000A1002">
        <w:t>i</w:t>
      </w:r>
      <w:proofErr w:type="spellEnd"/>
      <w:r w:rsidR="000A1002">
        <w:t xml:space="preserve">) to provide information about a resource through a resolution service, ii) to support linking of biodiversity resources, e.g., linking a tissue sample or genetic sequence to a specimen, </w:t>
      </w:r>
      <w:r w:rsidR="00E00747">
        <w:t xml:space="preserve">and </w:t>
      </w:r>
      <w:r>
        <w:t>ii</w:t>
      </w:r>
      <w:r w:rsidR="000A1002">
        <w:t>i</w:t>
      </w:r>
      <w:r>
        <w:t xml:space="preserve">) to support citation of datasets, including “citation of citations” in which an identifier is issued for citing a collection of datasets (each with their own citable identifier) used in some particular study. </w:t>
      </w:r>
    </w:p>
    <w:p w:rsidR="004C4651" w:rsidRDefault="004C4651" w:rsidP="00D60EAF">
      <w:pPr>
        <w:spacing w:before="360" w:after="0"/>
        <w:rPr>
          <w:b/>
          <w:sz w:val="28"/>
          <w:szCs w:val="28"/>
        </w:rPr>
      </w:pPr>
      <w:r w:rsidRPr="004C4651">
        <w:rPr>
          <w:b/>
          <w:sz w:val="28"/>
          <w:szCs w:val="28"/>
        </w:rPr>
        <w:t>2.1 Current situation</w:t>
      </w:r>
    </w:p>
    <w:p w:rsidR="00B2231C" w:rsidRDefault="00727765" w:rsidP="00A04CF3">
      <w:r>
        <w:t xml:space="preserve">Currently, </w:t>
      </w:r>
      <w:r w:rsidR="005B4BA4">
        <w:t xml:space="preserve">the </w:t>
      </w:r>
      <w:r>
        <w:t>GBIF</w:t>
      </w:r>
      <w:r w:rsidR="005B4BA4">
        <w:t xml:space="preserve"> registry </w:t>
      </w:r>
      <w:r>
        <w:t xml:space="preserve">issues identifiers for each dataset and record </w:t>
      </w:r>
      <w:r w:rsidR="007A739B">
        <w:t>indexed</w:t>
      </w:r>
      <w:r>
        <w:t xml:space="preserve">. </w:t>
      </w:r>
      <w:r w:rsidR="007A739B">
        <w:t>The former receive a UUID</w:t>
      </w:r>
      <w:r w:rsidR="002D4586">
        <w:t xml:space="preserve"> and a GBIF integer identifier, e.g., </w:t>
      </w:r>
      <w:r w:rsidR="002D4586" w:rsidRPr="007E2500">
        <w:rPr>
          <w:b/>
        </w:rPr>
        <w:t>846d0710-f762-11e1-a439-00145eb45e9a</w:t>
      </w:r>
      <w:r w:rsidR="002D4586">
        <w:t xml:space="preserve"> </w:t>
      </w:r>
      <w:r w:rsidR="007A739B" w:rsidRPr="007A739B">
        <w:rPr>
          <w:i/>
        </w:rPr>
        <w:t>Royal Saskatchewan Museum Collection</w:t>
      </w:r>
      <w:r w:rsidR="007A739B">
        <w:t>. Individual records within the collection receive a GBIF integer identifier</w:t>
      </w:r>
      <w:r w:rsidR="002D4586">
        <w:t xml:space="preserve"> </w:t>
      </w:r>
      <w:r w:rsidR="007A739B">
        <w:t xml:space="preserve">based on the Darwin Core </w:t>
      </w:r>
      <w:r w:rsidR="002F6B7B">
        <w:t>catalogue number</w:t>
      </w:r>
      <w:r w:rsidR="007A739B">
        <w:t xml:space="preserve"> provided, e.g.,</w:t>
      </w:r>
      <w:r w:rsidR="002F6B7B">
        <w:t xml:space="preserve"> </w:t>
      </w:r>
      <w:r w:rsidR="002F6B7B" w:rsidRPr="007E2500">
        <w:rPr>
          <w:b/>
        </w:rPr>
        <w:t>88475251</w:t>
      </w:r>
      <w:r w:rsidR="002F6B7B">
        <w:rPr>
          <w:b/>
        </w:rPr>
        <w:t xml:space="preserve"> </w:t>
      </w:r>
      <w:r w:rsidR="002F6B7B" w:rsidRPr="002F6B7B">
        <w:t>for</w:t>
      </w:r>
      <w:r w:rsidR="002F6B7B">
        <w:rPr>
          <w:b/>
        </w:rPr>
        <w:t xml:space="preserve"> </w:t>
      </w:r>
      <w:r w:rsidR="002F6B7B">
        <w:t xml:space="preserve">the </w:t>
      </w:r>
      <w:proofErr w:type="spellStart"/>
      <w:r w:rsidR="002F6B7B">
        <w:t>lepidopteran</w:t>
      </w:r>
      <w:proofErr w:type="spellEnd"/>
      <w:r w:rsidR="002F6B7B">
        <w:t xml:space="preserve"> </w:t>
      </w:r>
      <w:proofErr w:type="spellStart"/>
      <w:r w:rsidR="002F6B7B">
        <w:rPr>
          <w:i/>
          <w:iCs/>
        </w:rPr>
        <w:t>Boloria</w:t>
      </w:r>
      <w:proofErr w:type="spellEnd"/>
      <w:r w:rsidR="002F6B7B">
        <w:rPr>
          <w:i/>
          <w:iCs/>
        </w:rPr>
        <w:t xml:space="preserve"> </w:t>
      </w:r>
      <w:proofErr w:type="spellStart"/>
      <w:proofErr w:type="gramStart"/>
      <w:r w:rsidR="002F6B7B">
        <w:rPr>
          <w:i/>
          <w:iCs/>
        </w:rPr>
        <w:t>frigga</w:t>
      </w:r>
      <w:proofErr w:type="spellEnd"/>
      <w:proofErr w:type="gramEnd"/>
      <w:r w:rsidR="002F6B7B">
        <w:rPr>
          <w:i/>
          <w:iCs/>
        </w:rPr>
        <w:t xml:space="preserve"> </w:t>
      </w:r>
      <w:r w:rsidR="002F6B7B" w:rsidRPr="002F6B7B">
        <w:rPr>
          <w:iCs/>
        </w:rPr>
        <w:t xml:space="preserve">record </w:t>
      </w:r>
      <w:r w:rsidR="002F6B7B">
        <w:rPr>
          <w:iCs/>
        </w:rPr>
        <w:t xml:space="preserve">with original catalogue number </w:t>
      </w:r>
      <w:r w:rsidR="007A739B">
        <w:rPr>
          <w:b/>
          <w:bCs/>
        </w:rPr>
        <w:t>425110</w:t>
      </w:r>
      <w:r w:rsidR="002F6B7B">
        <w:rPr>
          <w:bCs/>
        </w:rPr>
        <w:t xml:space="preserve">. </w:t>
      </w:r>
      <w:r w:rsidR="002F6B7B" w:rsidRPr="00F1490A">
        <w:rPr>
          <w:bCs/>
          <w:u w:val="single"/>
        </w:rPr>
        <w:t xml:space="preserve">GBIF can guarantee the stability and </w:t>
      </w:r>
      <w:r w:rsidR="000A1002" w:rsidRPr="00F1490A">
        <w:rPr>
          <w:bCs/>
          <w:u w:val="single"/>
        </w:rPr>
        <w:t>persistence of the dataset UUID</w:t>
      </w:r>
      <w:r w:rsidR="000A1002" w:rsidRPr="00F1490A">
        <w:rPr>
          <w:bCs/>
        </w:rPr>
        <w:t>.</w:t>
      </w:r>
      <w:r w:rsidR="000A1002">
        <w:rPr>
          <w:bCs/>
        </w:rPr>
        <w:t xml:space="preserve"> However,</w:t>
      </w:r>
      <w:r w:rsidR="00F1490A">
        <w:rPr>
          <w:bCs/>
        </w:rPr>
        <w:t xml:space="preserve"> </w:t>
      </w:r>
      <w:r w:rsidR="00F1490A" w:rsidRPr="00F1490A">
        <w:rPr>
          <w:bCs/>
          <w:u w:val="single"/>
        </w:rPr>
        <w:t>it</w:t>
      </w:r>
      <w:r w:rsidR="002F6B7B" w:rsidRPr="00F1490A">
        <w:rPr>
          <w:bCs/>
          <w:u w:val="single"/>
        </w:rPr>
        <w:t xml:space="preserve"> cannot do so for</w:t>
      </w:r>
      <w:r w:rsidR="00F1490A" w:rsidRPr="00F1490A">
        <w:rPr>
          <w:bCs/>
          <w:u w:val="single"/>
        </w:rPr>
        <w:t xml:space="preserve"> all</w:t>
      </w:r>
      <w:r w:rsidR="002F6B7B" w:rsidRPr="00F1490A">
        <w:rPr>
          <w:bCs/>
          <w:u w:val="single"/>
        </w:rPr>
        <w:t xml:space="preserve"> individual record identifiers</w:t>
      </w:r>
      <w:r w:rsidR="002F6B7B">
        <w:rPr>
          <w:bCs/>
        </w:rPr>
        <w:t xml:space="preserve"> as catalogue numbers in </w:t>
      </w:r>
      <w:r w:rsidR="002F6B7B">
        <w:t xml:space="preserve">the original dataset </w:t>
      </w:r>
      <w:r w:rsidR="00A04CF3">
        <w:t xml:space="preserve">sometimes </w:t>
      </w:r>
      <w:r w:rsidR="002F6B7B">
        <w:t xml:space="preserve">become altered and so, as a consequence, when re-indexing, it is not possible to match the GBIF record identifier back to its original record.  </w:t>
      </w:r>
      <w:r w:rsidR="00B2231C">
        <w:t xml:space="preserve">While the GBIF integer </w:t>
      </w:r>
      <w:r w:rsidR="00C35291">
        <w:t xml:space="preserve">and UUID </w:t>
      </w:r>
      <w:r w:rsidR="00B2231C">
        <w:t>identifiers are resolvable (</w:t>
      </w:r>
      <w:r w:rsidR="00C35291">
        <w:t xml:space="preserve">e.g., </w:t>
      </w:r>
      <w:hyperlink r:id="rId9">
        <w:r w:rsidR="00B2231C">
          <w:rPr>
            <w:rStyle w:val="InternetLink"/>
          </w:rPr>
          <w:t>http://data.gbif.org/occurrences/88475251/</w:t>
        </w:r>
      </w:hyperlink>
      <w:r w:rsidR="00B2231C">
        <w:t xml:space="preserve">; </w:t>
      </w:r>
      <w:hyperlink r:id="rId10" w:history="1">
        <w:r w:rsidR="000502A8" w:rsidRPr="00D86A45">
          <w:rPr>
            <w:rStyle w:val="Hyperlink"/>
          </w:rPr>
          <w:t>http://gbrds.gbif.org/browse/agent?uuid=846d0710-f762-11e1-a439-00145eb45e9a</w:t>
        </w:r>
      </w:hyperlink>
      <w:r w:rsidR="00C35291">
        <w:t>)</w:t>
      </w:r>
      <w:r w:rsidR="00B2231C">
        <w:t xml:space="preserve">, these are not intended </w:t>
      </w:r>
      <w:r w:rsidR="00F1490A">
        <w:t xml:space="preserve">currently </w:t>
      </w:r>
      <w:r w:rsidR="00B2231C">
        <w:t>to be persistent URIs. Instead,</w:t>
      </w:r>
      <w:r w:rsidR="00E008D7">
        <w:t xml:space="preserve"> persistent URIs for datasets based on the UUIDs will be resolvable through</w:t>
      </w:r>
      <w:r w:rsidR="00B2231C">
        <w:t xml:space="preserve"> </w:t>
      </w:r>
      <w:r w:rsidR="00E008D7">
        <w:t xml:space="preserve">the </w:t>
      </w:r>
      <w:r w:rsidR="00C35291">
        <w:t xml:space="preserve">new portal currently under test (e.g., </w:t>
      </w:r>
      <w:hyperlink r:id="rId11" w:history="1">
        <w:r w:rsidR="00C35291" w:rsidRPr="005A3B6D">
          <w:rPr>
            <w:rStyle w:val="Hyperlink"/>
          </w:rPr>
          <w:t>http://uat.gbif.org/dataset/846d0710-f762-11e1-a439-00145eb45e9a</w:t>
        </w:r>
      </w:hyperlink>
      <w:r w:rsidR="00C35291">
        <w:t>)</w:t>
      </w:r>
      <w:r w:rsidR="00E008D7">
        <w:t xml:space="preserve">. Persistent URIs for individual records in the form of </w:t>
      </w:r>
      <w:hyperlink r:id="rId12" w:history="1">
        <w:r w:rsidR="00F53433" w:rsidRPr="00D23D5A">
          <w:rPr>
            <w:rStyle w:val="Hyperlink"/>
          </w:rPr>
          <w:t>http://gbif.org/occurrence/RecordNumber</w:t>
        </w:r>
      </w:hyperlink>
      <w:r w:rsidR="00E008D7">
        <w:t xml:space="preserve"> are technically trivial but require a commitment on the part of the data publisher to ensure the original record identifiers remain stable.</w:t>
      </w:r>
    </w:p>
    <w:p w:rsidR="004C4651" w:rsidRDefault="004C4651" w:rsidP="00D60EAF">
      <w:pPr>
        <w:spacing w:after="0"/>
        <w:rPr>
          <w:b/>
          <w:sz w:val="28"/>
          <w:szCs w:val="28"/>
        </w:rPr>
      </w:pPr>
      <w:r w:rsidRPr="004C4651">
        <w:rPr>
          <w:b/>
          <w:sz w:val="28"/>
          <w:szCs w:val="28"/>
        </w:rPr>
        <w:t>2.2 How can we improve this?</w:t>
      </w:r>
    </w:p>
    <w:p w:rsidR="004C4651" w:rsidRDefault="000A1002" w:rsidP="004C4651">
      <w:r>
        <w:t xml:space="preserve">GBIF has already taken steps to ensure that all datasets in its network are provided with </w:t>
      </w:r>
      <w:r w:rsidR="00E60E3D">
        <w:t>globally unique identifiers in the form of UUIDs which are also associated with stable HTTP URIs</w:t>
      </w:r>
      <w:r w:rsidR="00717119">
        <w:t xml:space="preserve">. </w:t>
      </w:r>
      <w:r w:rsidR="00D6585A">
        <w:t>The GBIF registry also allows other identifiers of a dataset, when known, to be mapped to the GBIF UUID. For GBIF to issue resolvable, globally unique and persistent identifiers for individual records within a dataset</w:t>
      </w:r>
      <w:r w:rsidR="008024D2">
        <w:t xml:space="preserve">, </w:t>
      </w:r>
      <w:r w:rsidR="008024D2" w:rsidRPr="008024D2">
        <w:rPr>
          <w:u w:val="single"/>
        </w:rPr>
        <w:t>the data publisher must guarantee the stability of their local record identifiers</w:t>
      </w:r>
      <w:r w:rsidR="008024D2">
        <w:t>. Without this cooperation, GBIF is powerless to implement stable record level identifiers.</w:t>
      </w:r>
    </w:p>
    <w:p w:rsidR="00797BD3" w:rsidRDefault="00797BD3" w:rsidP="004C4651">
      <w:r>
        <w:t>HTTP URIs support two of the uses cases outlined above by offering a mechanism for both resolution and linking of biodiversity resources.</w:t>
      </w:r>
      <w:r w:rsidR="00956997">
        <w:t xml:space="preserve"> Technically, the URI could also be used as an identifier for citation purposes. </w:t>
      </w:r>
      <w:r w:rsidR="00956997">
        <w:lastRenderedPageBreak/>
        <w:t xml:space="preserve">However, </w:t>
      </w:r>
      <w:r w:rsidR="002407D4">
        <w:t xml:space="preserve">we propose to adopt </w:t>
      </w:r>
      <w:r w:rsidR="00956997">
        <w:t xml:space="preserve">the </w:t>
      </w:r>
      <w:r w:rsidR="00930044">
        <w:t>Digital Object Identifier</w:t>
      </w:r>
      <w:r w:rsidR="00956997">
        <w:t xml:space="preserve"> (DOI)</w:t>
      </w:r>
      <w:r w:rsidR="00105B73">
        <w:rPr>
          <w:rStyle w:val="FootnoteReference"/>
        </w:rPr>
        <w:footnoteReference w:id="1"/>
      </w:r>
      <w:r w:rsidR="00956997">
        <w:t xml:space="preserve"> system and, in particular, </w:t>
      </w:r>
      <w:proofErr w:type="spellStart"/>
      <w:r w:rsidR="00956997">
        <w:t>DataCite</w:t>
      </w:r>
      <w:proofErr w:type="spellEnd"/>
      <w:r w:rsidR="00105B73">
        <w:rPr>
          <w:rStyle w:val="FootnoteReference"/>
        </w:rPr>
        <w:footnoteReference w:id="2"/>
      </w:r>
      <w:r w:rsidR="00E16B2B">
        <w:t xml:space="preserve"> with its support for “citable datasets”</w:t>
      </w:r>
      <w:r w:rsidR="002407D4">
        <w:t xml:space="preserve"> </w:t>
      </w:r>
      <w:r w:rsidR="008B55E9">
        <w:t>because it aligns the publishing of</w:t>
      </w:r>
      <w:r w:rsidR="00E16B2B">
        <w:t xml:space="preserve"> datasets</w:t>
      </w:r>
      <w:r w:rsidR="008B55E9">
        <w:t>, perhaps with an associated data paper</w:t>
      </w:r>
      <w:r w:rsidR="00105B73">
        <w:rPr>
          <w:rStyle w:val="FootnoteReference"/>
        </w:rPr>
        <w:footnoteReference w:id="3"/>
      </w:r>
      <w:r w:rsidR="00930044">
        <w:t>, w</w:t>
      </w:r>
      <w:r w:rsidR="00E16B2B">
        <w:t>ith traditional scholarly publications.</w:t>
      </w:r>
    </w:p>
    <w:p w:rsidR="00727765" w:rsidRDefault="00727765" w:rsidP="00D60EAF">
      <w:pPr>
        <w:spacing w:before="360" w:after="0"/>
        <w:rPr>
          <w:b/>
          <w:sz w:val="32"/>
          <w:szCs w:val="32"/>
        </w:rPr>
      </w:pPr>
      <w:r>
        <w:rPr>
          <w:b/>
          <w:sz w:val="32"/>
          <w:szCs w:val="32"/>
        </w:rPr>
        <w:t>3</w:t>
      </w:r>
      <w:r w:rsidRPr="004C4651">
        <w:rPr>
          <w:b/>
          <w:sz w:val="32"/>
          <w:szCs w:val="32"/>
        </w:rPr>
        <w:t xml:space="preserve">. </w:t>
      </w:r>
      <w:r w:rsidR="00F51B3C">
        <w:rPr>
          <w:b/>
          <w:sz w:val="32"/>
          <w:szCs w:val="32"/>
        </w:rPr>
        <w:t>Digital Object Identifiers</w:t>
      </w:r>
    </w:p>
    <w:p w:rsidR="00F51B3C" w:rsidRPr="00F51B3C" w:rsidRDefault="00F51B3C" w:rsidP="00F51B3C">
      <w:pPr>
        <w:pStyle w:val="Textbody"/>
        <w:rPr>
          <w:rFonts w:asciiTheme="minorHAnsi" w:hAnsiTheme="minorHAnsi"/>
          <w:sz w:val="20"/>
          <w:szCs w:val="20"/>
        </w:rPr>
      </w:pPr>
      <w:r w:rsidRPr="00F51B3C">
        <w:rPr>
          <w:rFonts w:asciiTheme="minorHAnsi" w:hAnsiTheme="minorHAnsi"/>
          <w:sz w:val="20"/>
          <w:szCs w:val="20"/>
        </w:rPr>
        <w:t>DOIs are part of a system consisting of four main components</w:t>
      </w:r>
      <w:r w:rsidR="00DB11CA">
        <w:rPr>
          <w:rStyle w:val="FootnoteReference"/>
          <w:rFonts w:asciiTheme="minorHAnsi" w:hAnsiTheme="minorHAnsi"/>
          <w:sz w:val="20"/>
          <w:szCs w:val="20"/>
        </w:rPr>
        <w:footnoteReference w:id="4"/>
      </w:r>
      <w:r w:rsidRPr="00F51B3C">
        <w:rPr>
          <w:rFonts w:asciiTheme="minorHAnsi" w:hAnsiTheme="minorHAnsi"/>
          <w:sz w:val="20"/>
          <w:szCs w:val="20"/>
        </w:rPr>
        <w:t>:</w:t>
      </w:r>
    </w:p>
    <w:p w:rsidR="00F51B3C" w:rsidRPr="00F51B3C" w:rsidRDefault="00F51B3C" w:rsidP="00F51B3C">
      <w:pPr>
        <w:pStyle w:val="Textbody"/>
        <w:numPr>
          <w:ilvl w:val="0"/>
          <w:numId w:val="5"/>
        </w:numPr>
        <w:spacing w:after="0"/>
        <w:ind w:left="641" w:hanging="357"/>
        <w:rPr>
          <w:rFonts w:asciiTheme="minorHAnsi" w:hAnsiTheme="minorHAnsi"/>
          <w:sz w:val="20"/>
          <w:szCs w:val="20"/>
        </w:rPr>
      </w:pPr>
      <w:r w:rsidRPr="00F51B3C">
        <w:rPr>
          <w:rFonts w:asciiTheme="minorHAnsi" w:hAnsiTheme="minorHAnsi"/>
          <w:sz w:val="20"/>
          <w:szCs w:val="20"/>
        </w:rPr>
        <w:t>a n</w:t>
      </w:r>
      <w:r w:rsidR="00B025EA">
        <w:rPr>
          <w:rFonts w:asciiTheme="minorHAnsi" w:hAnsiTheme="minorHAnsi"/>
          <w:sz w:val="20"/>
          <w:szCs w:val="20"/>
        </w:rPr>
        <w:t>aming/numbering syntax for DOIs</w:t>
      </w:r>
    </w:p>
    <w:p w:rsidR="00F51B3C" w:rsidRPr="00F51B3C" w:rsidRDefault="00B025EA" w:rsidP="00F51B3C">
      <w:pPr>
        <w:pStyle w:val="Textbody"/>
        <w:numPr>
          <w:ilvl w:val="0"/>
          <w:numId w:val="5"/>
        </w:numPr>
        <w:spacing w:after="0"/>
        <w:ind w:left="641" w:hanging="357"/>
        <w:rPr>
          <w:rFonts w:asciiTheme="minorHAnsi" w:hAnsiTheme="minorHAnsi"/>
          <w:sz w:val="20"/>
          <w:szCs w:val="20"/>
        </w:rPr>
      </w:pPr>
      <w:r>
        <w:rPr>
          <w:rFonts w:asciiTheme="minorHAnsi" w:hAnsiTheme="minorHAnsi"/>
          <w:sz w:val="20"/>
          <w:szCs w:val="20"/>
        </w:rPr>
        <w:t>a resolution service for DOIs</w:t>
      </w:r>
    </w:p>
    <w:p w:rsidR="00F51B3C" w:rsidRPr="00F51B3C" w:rsidRDefault="00F51B3C" w:rsidP="00F51B3C">
      <w:pPr>
        <w:pStyle w:val="Textbody"/>
        <w:numPr>
          <w:ilvl w:val="0"/>
          <w:numId w:val="5"/>
        </w:numPr>
        <w:spacing w:after="0"/>
        <w:ind w:left="641" w:hanging="357"/>
        <w:rPr>
          <w:rFonts w:asciiTheme="minorHAnsi" w:hAnsiTheme="minorHAnsi"/>
          <w:sz w:val="20"/>
          <w:szCs w:val="20"/>
        </w:rPr>
      </w:pPr>
      <w:r w:rsidRPr="00F51B3C">
        <w:rPr>
          <w:rFonts w:asciiTheme="minorHAnsi" w:hAnsiTheme="minorHAnsi"/>
          <w:sz w:val="20"/>
          <w:szCs w:val="20"/>
        </w:rPr>
        <w:t>a data mod</w:t>
      </w:r>
      <w:r w:rsidR="00F1490A">
        <w:rPr>
          <w:rFonts w:asciiTheme="minorHAnsi" w:hAnsiTheme="minorHAnsi"/>
          <w:sz w:val="20"/>
          <w:szCs w:val="20"/>
        </w:rPr>
        <w:t xml:space="preserve">el for the metadata/information </w:t>
      </w:r>
      <w:r w:rsidR="00B025EA">
        <w:rPr>
          <w:rFonts w:asciiTheme="minorHAnsi" w:hAnsiTheme="minorHAnsi"/>
          <w:sz w:val="20"/>
          <w:szCs w:val="20"/>
        </w:rPr>
        <w:t>registered about DOIs</w:t>
      </w:r>
    </w:p>
    <w:p w:rsidR="00F51B3C" w:rsidRPr="00F51B3C" w:rsidRDefault="00F51B3C" w:rsidP="00F51B3C">
      <w:pPr>
        <w:pStyle w:val="Textbody"/>
        <w:numPr>
          <w:ilvl w:val="0"/>
          <w:numId w:val="5"/>
        </w:numPr>
        <w:ind w:left="641" w:hanging="357"/>
        <w:rPr>
          <w:rFonts w:asciiTheme="minorHAnsi" w:hAnsiTheme="minorHAnsi"/>
          <w:sz w:val="20"/>
          <w:szCs w:val="20"/>
        </w:rPr>
      </w:pPr>
      <w:r w:rsidRPr="00F51B3C">
        <w:rPr>
          <w:rFonts w:asciiTheme="minorHAnsi" w:hAnsiTheme="minorHAnsi"/>
          <w:sz w:val="20"/>
          <w:szCs w:val="20"/>
        </w:rPr>
        <w:t xml:space="preserve">a particular implementation (e.g., </w:t>
      </w:r>
      <w:proofErr w:type="spellStart"/>
      <w:r w:rsidRPr="00F51B3C">
        <w:rPr>
          <w:rFonts w:asciiTheme="minorHAnsi" w:hAnsiTheme="minorHAnsi"/>
          <w:sz w:val="20"/>
          <w:szCs w:val="20"/>
        </w:rPr>
        <w:t>DataCite</w:t>
      </w:r>
      <w:proofErr w:type="spellEnd"/>
      <w:r w:rsidRPr="00F51B3C">
        <w:rPr>
          <w:rFonts w:asciiTheme="minorHAnsi" w:hAnsiTheme="minorHAnsi"/>
          <w:sz w:val="20"/>
          <w:szCs w:val="20"/>
        </w:rPr>
        <w:t xml:space="preserve">, </w:t>
      </w:r>
      <w:proofErr w:type="spellStart"/>
      <w:r w:rsidRPr="00F51B3C">
        <w:rPr>
          <w:rFonts w:asciiTheme="minorHAnsi" w:hAnsiTheme="minorHAnsi"/>
          <w:sz w:val="20"/>
          <w:szCs w:val="20"/>
        </w:rPr>
        <w:t>CrossRef</w:t>
      </w:r>
      <w:proofErr w:type="spellEnd"/>
      <w:r w:rsidRPr="00F51B3C">
        <w:rPr>
          <w:rFonts w:asciiTheme="minorHAnsi" w:hAnsiTheme="minorHAnsi"/>
          <w:sz w:val="20"/>
          <w:szCs w:val="20"/>
        </w:rPr>
        <w:t>) with community infrastructure, regulations, etc., for issuin</w:t>
      </w:r>
      <w:r w:rsidR="00B025EA">
        <w:rPr>
          <w:rFonts w:asciiTheme="minorHAnsi" w:hAnsiTheme="minorHAnsi"/>
          <w:sz w:val="20"/>
          <w:szCs w:val="20"/>
        </w:rPr>
        <w:t>g and registration of DOI names</w:t>
      </w:r>
    </w:p>
    <w:p w:rsidR="00F51B3C" w:rsidRPr="00F51B3C" w:rsidRDefault="00F51B3C" w:rsidP="00F51B3C">
      <w:pPr>
        <w:pStyle w:val="Textbody"/>
        <w:rPr>
          <w:rFonts w:asciiTheme="minorHAnsi" w:hAnsiTheme="minorHAnsi"/>
          <w:sz w:val="20"/>
          <w:szCs w:val="20"/>
        </w:rPr>
      </w:pPr>
      <w:r w:rsidRPr="00F51B3C">
        <w:rPr>
          <w:rFonts w:asciiTheme="minorHAnsi" w:hAnsiTheme="minorHAnsi"/>
          <w:sz w:val="20"/>
          <w:szCs w:val="20"/>
        </w:rPr>
        <w:t xml:space="preserve">The DOI is an opaque string with two parts, the prefix and suffix, separated by a “/”. The prefix is allocated by a DOI registration agency </w:t>
      </w:r>
      <w:r>
        <w:rPr>
          <w:rFonts w:asciiTheme="minorHAnsi" w:hAnsiTheme="minorHAnsi"/>
          <w:sz w:val="20"/>
          <w:szCs w:val="20"/>
        </w:rPr>
        <w:t xml:space="preserve">(e.g., </w:t>
      </w:r>
      <w:proofErr w:type="spellStart"/>
      <w:r>
        <w:rPr>
          <w:rFonts w:asciiTheme="minorHAnsi" w:hAnsiTheme="minorHAnsi"/>
          <w:sz w:val="20"/>
          <w:szCs w:val="20"/>
        </w:rPr>
        <w:t>DataCite</w:t>
      </w:r>
      <w:proofErr w:type="spellEnd"/>
      <w:r>
        <w:rPr>
          <w:rFonts w:asciiTheme="minorHAnsi" w:hAnsiTheme="minorHAnsi"/>
          <w:sz w:val="20"/>
          <w:szCs w:val="20"/>
        </w:rPr>
        <w:t xml:space="preserve">) </w:t>
      </w:r>
      <w:r w:rsidRPr="00F51B3C">
        <w:rPr>
          <w:rFonts w:asciiTheme="minorHAnsi" w:hAnsiTheme="minorHAnsi"/>
          <w:sz w:val="20"/>
          <w:szCs w:val="20"/>
        </w:rPr>
        <w:t xml:space="preserve">and denotes a unique naming authority. The suffix, a unique string within the naming authority, is chosen by the registrant, and may be an already existing identifier and of any length. For example, the DOI for </w:t>
      </w:r>
      <w:r w:rsidR="00F1490A">
        <w:rPr>
          <w:rFonts w:asciiTheme="minorHAnsi" w:hAnsiTheme="minorHAnsi"/>
          <w:sz w:val="20"/>
          <w:szCs w:val="20"/>
        </w:rPr>
        <w:t>one particular</w:t>
      </w:r>
      <w:r w:rsidRPr="00F51B3C">
        <w:rPr>
          <w:rFonts w:asciiTheme="minorHAnsi" w:hAnsiTheme="minorHAnsi"/>
          <w:sz w:val="20"/>
          <w:szCs w:val="20"/>
        </w:rPr>
        <w:t xml:space="preserve"> dataset published by </w:t>
      </w:r>
      <w:proofErr w:type="spellStart"/>
      <w:r w:rsidRPr="00F51B3C">
        <w:rPr>
          <w:rFonts w:asciiTheme="minorHAnsi" w:hAnsiTheme="minorHAnsi"/>
          <w:sz w:val="20"/>
          <w:szCs w:val="20"/>
        </w:rPr>
        <w:t>Canadensys</w:t>
      </w:r>
      <w:proofErr w:type="spellEnd"/>
      <w:r w:rsidRPr="00F51B3C">
        <w:rPr>
          <w:rFonts w:asciiTheme="minorHAnsi" w:hAnsiTheme="minorHAnsi"/>
          <w:sz w:val="20"/>
          <w:szCs w:val="20"/>
        </w:rPr>
        <w:t xml:space="preserve"> is: doi</w:t>
      </w:r>
      <w:proofErr w:type="gramStart"/>
      <w:r w:rsidRPr="00F51B3C">
        <w:rPr>
          <w:rFonts w:asciiTheme="minorHAnsi" w:hAnsiTheme="minorHAnsi"/>
          <w:sz w:val="20"/>
          <w:szCs w:val="20"/>
        </w:rPr>
        <w:t>:10.5886</w:t>
      </w:r>
      <w:proofErr w:type="gramEnd"/>
      <w:r w:rsidRPr="00F51B3C">
        <w:rPr>
          <w:rFonts w:asciiTheme="minorHAnsi" w:hAnsiTheme="minorHAnsi"/>
          <w:sz w:val="20"/>
          <w:szCs w:val="20"/>
        </w:rPr>
        <w:t>/txsd3at3</w:t>
      </w:r>
      <w:r w:rsidR="00D4154D">
        <w:rPr>
          <w:rFonts w:asciiTheme="minorHAnsi" w:hAnsiTheme="minorHAnsi"/>
          <w:sz w:val="20"/>
          <w:szCs w:val="20"/>
        </w:rPr>
        <w:t xml:space="preserve">. </w:t>
      </w:r>
      <w:r w:rsidRPr="00F51B3C">
        <w:rPr>
          <w:rFonts w:asciiTheme="minorHAnsi" w:hAnsiTheme="minorHAnsi"/>
          <w:sz w:val="20"/>
          <w:szCs w:val="20"/>
        </w:rPr>
        <w:t xml:space="preserve">The suffix can have several parts and need not be so opaque, </w:t>
      </w:r>
      <w:proofErr w:type="spellStart"/>
      <w:r w:rsidRPr="00F51B3C">
        <w:rPr>
          <w:rFonts w:asciiTheme="minorHAnsi" w:hAnsiTheme="minorHAnsi"/>
          <w:sz w:val="20"/>
          <w:szCs w:val="20"/>
        </w:rPr>
        <w:t>e</w:t>
      </w:r>
      <w:proofErr w:type="gramStart"/>
      <w:r w:rsidRPr="00F51B3C">
        <w:rPr>
          <w:rFonts w:asciiTheme="minorHAnsi" w:hAnsiTheme="minorHAnsi"/>
          <w:sz w:val="20"/>
          <w:szCs w:val="20"/>
        </w:rPr>
        <w:t>,g</w:t>
      </w:r>
      <w:proofErr w:type="spellEnd"/>
      <w:proofErr w:type="gramEnd"/>
      <w:r w:rsidRPr="00F51B3C">
        <w:rPr>
          <w:rFonts w:asciiTheme="minorHAnsi" w:hAnsiTheme="minorHAnsi"/>
          <w:sz w:val="20"/>
          <w:szCs w:val="20"/>
        </w:rPr>
        <w:t>., it could include institute, dataset name, etc.</w:t>
      </w:r>
    </w:p>
    <w:p w:rsidR="00F51B3C" w:rsidRPr="00F51B3C" w:rsidRDefault="00F51B3C" w:rsidP="00F51B3C">
      <w:pPr>
        <w:pStyle w:val="Textbody"/>
        <w:rPr>
          <w:rFonts w:asciiTheme="minorHAnsi" w:hAnsiTheme="minorHAnsi"/>
          <w:sz w:val="20"/>
          <w:szCs w:val="20"/>
        </w:rPr>
      </w:pPr>
      <w:r w:rsidRPr="00F51B3C">
        <w:rPr>
          <w:rFonts w:asciiTheme="minorHAnsi" w:hAnsiTheme="minorHAnsi"/>
          <w:sz w:val="20"/>
          <w:szCs w:val="20"/>
        </w:rPr>
        <w:t xml:space="preserve">Minting a </w:t>
      </w:r>
      <w:proofErr w:type="spellStart"/>
      <w:r w:rsidRPr="00F51B3C">
        <w:rPr>
          <w:rFonts w:asciiTheme="minorHAnsi" w:hAnsiTheme="minorHAnsi"/>
          <w:sz w:val="20"/>
          <w:szCs w:val="20"/>
        </w:rPr>
        <w:t>DataCite</w:t>
      </w:r>
      <w:proofErr w:type="spellEnd"/>
      <w:r w:rsidRPr="00F51B3C">
        <w:rPr>
          <w:rFonts w:asciiTheme="minorHAnsi" w:hAnsiTheme="minorHAnsi"/>
          <w:sz w:val="20"/>
          <w:szCs w:val="20"/>
        </w:rPr>
        <w:t xml:space="preserve"> DOI may be done through a web form interface or via an API (for automated machine processing). The requester is required to submit key information (metadata) that accurately identifies the data for citation and also the URL of a “landing page”, i.e., the web page that the DOI resolves to. The </w:t>
      </w:r>
      <w:proofErr w:type="spellStart"/>
      <w:r w:rsidRPr="00F51B3C">
        <w:rPr>
          <w:rFonts w:asciiTheme="minorHAnsi" w:hAnsiTheme="minorHAnsi"/>
          <w:sz w:val="20"/>
          <w:szCs w:val="20"/>
        </w:rPr>
        <w:t>DataCite</w:t>
      </w:r>
      <w:proofErr w:type="spellEnd"/>
      <w:r w:rsidRPr="00F51B3C">
        <w:rPr>
          <w:rFonts w:asciiTheme="minorHAnsi" w:hAnsiTheme="minorHAnsi"/>
          <w:sz w:val="20"/>
          <w:szCs w:val="20"/>
        </w:rPr>
        <w:t xml:space="preserve"> metadata schema</w:t>
      </w:r>
      <w:r w:rsidR="00DB11CA">
        <w:rPr>
          <w:rStyle w:val="FootnoteReference"/>
          <w:rFonts w:asciiTheme="minorHAnsi" w:hAnsiTheme="minorHAnsi"/>
          <w:sz w:val="20"/>
          <w:szCs w:val="20"/>
        </w:rPr>
        <w:footnoteReference w:id="5"/>
      </w:r>
      <w:r w:rsidRPr="00F51B3C">
        <w:rPr>
          <w:rFonts w:asciiTheme="minorHAnsi" w:hAnsiTheme="minorHAnsi"/>
          <w:sz w:val="20"/>
          <w:szCs w:val="20"/>
        </w:rPr>
        <w:t xml:space="preserve"> defines 5 mandatory and 12 additional properties. The mandatory properties are DOI identifier, Creator, Title, Publisher, </w:t>
      </w:r>
      <w:proofErr w:type="gramStart"/>
      <w:r w:rsidRPr="00F51B3C">
        <w:rPr>
          <w:rFonts w:asciiTheme="minorHAnsi" w:hAnsiTheme="minorHAnsi"/>
          <w:sz w:val="20"/>
          <w:szCs w:val="20"/>
        </w:rPr>
        <w:t>Publication</w:t>
      </w:r>
      <w:proofErr w:type="gramEnd"/>
      <w:r w:rsidRPr="00F51B3C">
        <w:rPr>
          <w:rFonts w:asciiTheme="minorHAnsi" w:hAnsiTheme="minorHAnsi"/>
          <w:sz w:val="20"/>
          <w:szCs w:val="20"/>
        </w:rPr>
        <w:t xml:space="preserve"> Year. It is recommended that the DOI resolve to a rich landing page that provides much more information/metadata.</w:t>
      </w:r>
    </w:p>
    <w:p w:rsidR="000C5396" w:rsidRDefault="00D4154D" w:rsidP="00D60EAF">
      <w:pPr>
        <w:spacing w:before="360" w:after="0"/>
        <w:rPr>
          <w:b/>
          <w:sz w:val="32"/>
          <w:szCs w:val="32"/>
        </w:rPr>
      </w:pPr>
      <w:r>
        <w:rPr>
          <w:b/>
          <w:sz w:val="32"/>
          <w:szCs w:val="32"/>
        </w:rPr>
        <w:t>4</w:t>
      </w:r>
      <w:r w:rsidR="000C5396">
        <w:rPr>
          <w:b/>
          <w:sz w:val="32"/>
          <w:szCs w:val="32"/>
        </w:rPr>
        <w:t>. Proposed process for GBIF</w:t>
      </w:r>
    </w:p>
    <w:p w:rsidR="003736EC" w:rsidRPr="00C54A85" w:rsidRDefault="003736EC" w:rsidP="003736EC">
      <w:pPr>
        <w:pStyle w:val="Textbody"/>
        <w:rPr>
          <w:sz w:val="20"/>
          <w:szCs w:val="20"/>
        </w:rPr>
      </w:pPr>
      <w:r w:rsidRPr="00C54A85">
        <w:rPr>
          <w:sz w:val="20"/>
          <w:szCs w:val="20"/>
        </w:rPr>
        <w:t xml:space="preserve">In deploying DOIs on its network, GBIF </w:t>
      </w:r>
      <w:r w:rsidR="00170621">
        <w:rPr>
          <w:sz w:val="20"/>
          <w:szCs w:val="20"/>
        </w:rPr>
        <w:t>will</w:t>
      </w:r>
      <w:r w:rsidRPr="00C54A85">
        <w:rPr>
          <w:sz w:val="20"/>
          <w:szCs w:val="20"/>
        </w:rPr>
        <w:t xml:space="preserve"> </w:t>
      </w:r>
      <w:r>
        <w:rPr>
          <w:sz w:val="20"/>
          <w:szCs w:val="20"/>
        </w:rPr>
        <w:t>use</w:t>
      </w:r>
      <w:r w:rsidRPr="00C54A85">
        <w:rPr>
          <w:sz w:val="20"/>
          <w:szCs w:val="20"/>
        </w:rPr>
        <w:t xml:space="preserve"> the following principles:</w:t>
      </w:r>
    </w:p>
    <w:p w:rsidR="003736EC" w:rsidRPr="00C54A85" w:rsidRDefault="003736EC" w:rsidP="003736EC">
      <w:pPr>
        <w:pStyle w:val="Textbody"/>
        <w:numPr>
          <w:ilvl w:val="0"/>
          <w:numId w:val="7"/>
        </w:numPr>
        <w:spacing w:after="0"/>
        <w:ind w:left="714" w:hanging="357"/>
        <w:rPr>
          <w:sz w:val="20"/>
          <w:szCs w:val="20"/>
        </w:rPr>
      </w:pPr>
      <w:r>
        <w:rPr>
          <w:sz w:val="20"/>
          <w:szCs w:val="20"/>
        </w:rPr>
        <w:t>p</w:t>
      </w:r>
      <w:r w:rsidRPr="00C54A85">
        <w:rPr>
          <w:sz w:val="20"/>
          <w:szCs w:val="20"/>
        </w:rPr>
        <w:t xml:space="preserve">romote use of </w:t>
      </w:r>
      <w:proofErr w:type="spellStart"/>
      <w:r>
        <w:rPr>
          <w:sz w:val="20"/>
          <w:szCs w:val="20"/>
        </w:rPr>
        <w:t>DataCite</w:t>
      </w:r>
      <w:proofErr w:type="spellEnd"/>
      <w:r>
        <w:rPr>
          <w:sz w:val="20"/>
          <w:szCs w:val="20"/>
        </w:rPr>
        <w:t xml:space="preserve"> </w:t>
      </w:r>
      <w:r w:rsidRPr="00C54A85">
        <w:rPr>
          <w:sz w:val="20"/>
          <w:szCs w:val="20"/>
        </w:rPr>
        <w:t xml:space="preserve">DOIs </w:t>
      </w:r>
      <w:r w:rsidRPr="000E4F84">
        <w:rPr>
          <w:sz w:val="20"/>
          <w:szCs w:val="20"/>
        </w:rPr>
        <w:t>as the preferred persistent identifiers for biodiversity datasets</w:t>
      </w:r>
    </w:p>
    <w:p w:rsidR="003736EC" w:rsidRPr="00C54A85" w:rsidRDefault="003736EC" w:rsidP="003736EC">
      <w:pPr>
        <w:pStyle w:val="Textbody"/>
        <w:numPr>
          <w:ilvl w:val="0"/>
          <w:numId w:val="7"/>
        </w:numPr>
        <w:spacing w:after="0"/>
        <w:ind w:left="714" w:hanging="357"/>
        <w:rPr>
          <w:sz w:val="20"/>
          <w:szCs w:val="20"/>
        </w:rPr>
      </w:pPr>
      <w:r>
        <w:rPr>
          <w:sz w:val="20"/>
          <w:szCs w:val="20"/>
        </w:rPr>
        <w:t>m</w:t>
      </w:r>
      <w:r w:rsidRPr="00C54A85">
        <w:rPr>
          <w:sz w:val="20"/>
          <w:szCs w:val="20"/>
        </w:rPr>
        <w:t>int DOIs when the data publis</w:t>
      </w:r>
      <w:r>
        <w:rPr>
          <w:sz w:val="20"/>
          <w:szCs w:val="20"/>
        </w:rPr>
        <w:t>her does not have that capacity</w:t>
      </w:r>
    </w:p>
    <w:p w:rsidR="003736EC" w:rsidRDefault="003736EC" w:rsidP="00C35291">
      <w:pPr>
        <w:pStyle w:val="Textbody"/>
        <w:numPr>
          <w:ilvl w:val="0"/>
          <w:numId w:val="7"/>
        </w:numPr>
        <w:spacing w:after="0"/>
        <w:ind w:left="714" w:hanging="357"/>
        <w:rPr>
          <w:sz w:val="20"/>
          <w:szCs w:val="20"/>
        </w:rPr>
      </w:pPr>
      <w:r>
        <w:rPr>
          <w:sz w:val="20"/>
          <w:szCs w:val="20"/>
        </w:rPr>
        <w:t xml:space="preserve">never knowingly duplicate </w:t>
      </w:r>
      <w:r w:rsidRPr="00C54A85">
        <w:rPr>
          <w:sz w:val="20"/>
          <w:szCs w:val="20"/>
        </w:rPr>
        <w:t xml:space="preserve">a DOI </w:t>
      </w:r>
      <w:r>
        <w:rPr>
          <w:sz w:val="20"/>
          <w:szCs w:val="20"/>
        </w:rPr>
        <w:t xml:space="preserve">for a dataset that </w:t>
      </w:r>
      <w:r w:rsidRPr="00C54A85">
        <w:rPr>
          <w:sz w:val="20"/>
          <w:szCs w:val="20"/>
        </w:rPr>
        <w:t xml:space="preserve">has already been issued </w:t>
      </w:r>
      <w:r>
        <w:rPr>
          <w:sz w:val="20"/>
          <w:szCs w:val="20"/>
        </w:rPr>
        <w:t>with one</w:t>
      </w:r>
    </w:p>
    <w:p w:rsidR="000502A8" w:rsidRDefault="00C35291" w:rsidP="003736EC">
      <w:pPr>
        <w:pStyle w:val="Textbody"/>
        <w:numPr>
          <w:ilvl w:val="0"/>
          <w:numId w:val="7"/>
        </w:numPr>
        <w:ind w:left="714" w:hanging="357"/>
        <w:rPr>
          <w:sz w:val="20"/>
          <w:szCs w:val="20"/>
        </w:rPr>
      </w:pPr>
      <w:r>
        <w:rPr>
          <w:sz w:val="20"/>
          <w:szCs w:val="20"/>
        </w:rPr>
        <w:t>when duplicate DOIs</w:t>
      </w:r>
      <w:r w:rsidR="000502A8">
        <w:rPr>
          <w:sz w:val="20"/>
          <w:szCs w:val="20"/>
        </w:rPr>
        <w:t xml:space="preserve"> exist, the preferred DOI to use will be clearly recognisable</w:t>
      </w:r>
    </w:p>
    <w:p w:rsidR="000E4F84" w:rsidRPr="000E4F84" w:rsidRDefault="000E4F84" w:rsidP="000E4F84">
      <w:pPr>
        <w:pStyle w:val="Textbody"/>
        <w:rPr>
          <w:sz w:val="20"/>
          <w:szCs w:val="20"/>
        </w:rPr>
      </w:pPr>
      <w:r w:rsidRPr="000E4F84">
        <w:rPr>
          <w:sz w:val="20"/>
          <w:szCs w:val="20"/>
        </w:rPr>
        <w:t xml:space="preserve">GBIF </w:t>
      </w:r>
      <w:r>
        <w:rPr>
          <w:sz w:val="20"/>
          <w:szCs w:val="20"/>
        </w:rPr>
        <w:t xml:space="preserve">will </w:t>
      </w:r>
      <w:r w:rsidRPr="000E4F84">
        <w:rPr>
          <w:sz w:val="20"/>
          <w:szCs w:val="20"/>
        </w:rPr>
        <w:t>undertake the following tasks:</w:t>
      </w:r>
    </w:p>
    <w:p w:rsidR="000E4F84" w:rsidRPr="000E4F84" w:rsidRDefault="000E4F84" w:rsidP="003736EC">
      <w:pPr>
        <w:pStyle w:val="Textbody"/>
        <w:numPr>
          <w:ilvl w:val="0"/>
          <w:numId w:val="9"/>
        </w:numPr>
        <w:spacing w:after="0"/>
        <w:ind w:left="714" w:hanging="357"/>
        <w:rPr>
          <w:sz w:val="20"/>
          <w:szCs w:val="20"/>
        </w:rPr>
      </w:pPr>
      <w:r w:rsidRPr="000E4F84">
        <w:rPr>
          <w:sz w:val="20"/>
          <w:szCs w:val="20"/>
        </w:rPr>
        <w:t xml:space="preserve">identify the most-appropriate technical options for GBIF to establish itself as an issuer of DOIs </w:t>
      </w:r>
    </w:p>
    <w:p w:rsidR="000E4F84" w:rsidRPr="000E4F84" w:rsidRDefault="000E4F84" w:rsidP="003736EC">
      <w:pPr>
        <w:pStyle w:val="Textbody"/>
        <w:numPr>
          <w:ilvl w:val="0"/>
          <w:numId w:val="9"/>
        </w:numPr>
        <w:spacing w:after="0"/>
        <w:ind w:left="714" w:hanging="357"/>
        <w:rPr>
          <w:sz w:val="20"/>
          <w:szCs w:val="20"/>
        </w:rPr>
      </w:pPr>
      <w:r w:rsidRPr="000E4F84">
        <w:rPr>
          <w:sz w:val="20"/>
          <w:szCs w:val="20"/>
        </w:rPr>
        <w:t>document service requirements and best practices for data publishers to make use of DOIs and to adopt GBIF as their DOI issuing agency</w:t>
      </w:r>
    </w:p>
    <w:p w:rsidR="007E0067" w:rsidRDefault="003736EC" w:rsidP="007E0067">
      <w:pPr>
        <w:pStyle w:val="Textbody"/>
        <w:numPr>
          <w:ilvl w:val="0"/>
          <w:numId w:val="9"/>
        </w:numPr>
        <w:spacing w:after="0"/>
        <w:ind w:left="714" w:hanging="357"/>
        <w:rPr>
          <w:sz w:val="20"/>
          <w:szCs w:val="20"/>
        </w:rPr>
      </w:pPr>
      <w:r>
        <w:rPr>
          <w:sz w:val="20"/>
          <w:szCs w:val="20"/>
        </w:rPr>
        <w:t xml:space="preserve">undertake </w:t>
      </w:r>
      <w:r w:rsidR="000E4F84" w:rsidRPr="000E4F84">
        <w:rPr>
          <w:sz w:val="20"/>
          <w:szCs w:val="20"/>
        </w:rPr>
        <w:t xml:space="preserve">a test implementation </w:t>
      </w:r>
      <w:r w:rsidR="007E0067">
        <w:rPr>
          <w:sz w:val="20"/>
          <w:szCs w:val="20"/>
        </w:rPr>
        <w:t xml:space="preserve">of DOIs </w:t>
      </w:r>
      <w:r>
        <w:rPr>
          <w:sz w:val="20"/>
          <w:szCs w:val="20"/>
        </w:rPr>
        <w:t xml:space="preserve">with the understanding </w:t>
      </w:r>
      <w:r w:rsidR="000E4F84" w:rsidRPr="000E4F84">
        <w:rPr>
          <w:sz w:val="20"/>
          <w:szCs w:val="20"/>
        </w:rPr>
        <w:t xml:space="preserve"> that identifiers may change p</w:t>
      </w:r>
      <w:r>
        <w:rPr>
          <w:sz w:val="20"/>
          <w:szCs w:val="20"/>
        </w:rPr>
        <w:t>rior to a final implementation</w:t>
      </w:r>
    </w:p>
    <w:p w:rsidR="000502A8" w:rsidRDefault="00C40B27" w:rsidP="007E0067">
      <w:pPr>
        <w:pStyle w:val="Textbody"/>
        <w:numPr>
          <w:ilvl w:val="0"/>
          <w:numId w:val="9"/>
        </w:numPr>
        <w:spacing w:after="0"/>
        <w:ind w:left="714" w:hanging="357"/>
        <w:rPr>
          <w:sz w:val="20"/>
          <w:szCs w:val="20"/>
        </w:rPr>
      </w:pPr>
      <w:r>
        <w:rPr>
          <w:sz w:val="20"/>
          <w:szCs w:val="20"/>
        </w:rPr>
        <w:t>g</w:t>
      </w:r>
      <w:r w:rsidR="000502A8">
        <w:rPr>
          <w:sz w:val="20"/>
          <w:szCs w:val="20"/>
        </w:rPr>
        <w:t>enerate and store a citation file for each data download, and issue a DOI for the citation file</w:t>
      </w:r>
    </w:p>
    <w:p w:rsidR="007E0067" w:rsidRDefault="007E0067" w:rsidP="007E0067">
      <w:pPr>
        <w:pStyle w:val="Textbody"/>
        <w:numPr>
          <w:ilvl w:val="0"/>
          <w:numId w:val="9"/>
        </w:numPr>
        <w:spacing w:after="0"/>
        <w:ind w:left="714" w:hanging="357"/>
        <w:rPr>
          <w:sz w:val="20"/>
          <w:szCs w:val="20"/>
        </w:rPr>
      </w:pPr>
      <w:r w:rsidRPr="007E0067">
        <w:rPr>
          <w:sz w:val="20"/>
          <w:szCs w:val="20"/>
        </w:rPr>
        <w:t xml:space="preserve">assess the value of issuing DOIs for specimen records (in preference </w:t>
      </w:r>
      <w:r w:rsidR="00B025EA">
        <w:rPr>
          <w:sz w:val="20"/>
          <w:szCs w:val="20"/>
        </w:rPr>
        <w:t>to HTTP-resolvable identifiers)</w:t>
      </w:r>
    </w:p>
    <w:p w:rsidR="007E0067" w:rsidRDefault="00170621" w:rsidP="007E0067">
      <w:pPr>
        <w:pStyle w:val="Textbody"/>
        <w:numPr>
          <w:ilvl w:val="0"/>
          <w:numId w:val="9"/>
        </w:numPr>
        <w:spacing w:after="0"/>
        <w:ind w:left="714" w:hanging="357"/>
        <w:rPr>
          <w:sz w:val="20"/>
          <w:szCs w:val="20"/>
        </w:rPr>
      </w:pPr>
      <w:r w:rsidRPr="007E0067">
        <w:rPr>
          <w:sz w:val="20"/>
          <w:szCs w:val="20"/>
        </w:rPr>
        <w:t>document requirements and assumptions for delivering consistent HTTP-resolvable globally-unique identifie</w:t>
      </w:r>
      <w:r w:rsidR="00B025EA">
        <w:rPr>
          <w:sz w:val="20"/>
          <w:szCs w:val="20"/>
        </w:rPr>
        <w:t>rs for all records in datasets</w:t>
      </w:r>
    </w:p>
    <w:p w:rsidR="007E0067" w:rsidRDefault="00170621" w:rsidP="007E0067">
      <w:pPr>
        <w:pStyle w:val="Textbody"/>
        <w:numPr>
          <w:ilvl w:val="0"/>
          <w:numId w:val="9"/>
        </w:numPr>
        <w:spacing w:after="0"/>
        <w:ind w:left="714" w:hanging="357"/>
        <w:rPr>
          <w:sz w:val="20"/>
          <w:szCs w:val="20"/>
        </w:rPr>
      </w:pPr>
      <w:r w:rsidRPr="007E0067">
        <w:rPr>
          <w:sz w:val="20"/>
          <w:szCs w:val="20"/>
        </w:rPr>
        <w:t xml:space="preserve">trial the use of consistent HTTP-resolvable globally-unique identifiers for each </w:t>
      </w:r>
      <w:r w:rsidR="007E0067">
        <w:rPr>
          <w:sz w:val="20"/>
          <w:szCs w:val="20"/>
        </w:rPr>
        <w:t xml:space="preserve">record in a data set </w:t>
      </w:r>
      <w:r w:rsidRPr="007E0067">
        <w:rPr>
          <w:sz w:val="20"/>
          <w:szCs w:val="20"/>
        </w:rPr>
        <w:lastRenderedPageBreak/>
        <w:t>(</w:t>
      </w:r>
      <w:r w:rsidR="009A5C61" w:rsidRPr="007E0067">
        <w:rPr>
          <w:sz w:val="20"/>
          <w:szCs w:val="20"/>
        </w:rPr>
        <w:t xml:space="preserve">with </w:t>
      </w:r>
      <w:r w:rsidR="00F1490A" w:rsidRPr="007E0067">
        <w:rPr>
          <w:sz w:val="20"/>
          <w:szCs w:val="20"/>
        </w:rPr>
        <w:t xml:space="preserve">the </w:t>
      </w:r>
      <w:r w:rsidR="009A5C61" w:rsidRPr="007E0067">
        <w:rPr>
          <w:sz w:val="20"/>
          <w:szCs w:val="20"/>
        </w:rPr>
        <w:t>understanding</w:t>
      </w:r>
      <w:r w:rsidRPr="007E0067">
        <w:rPr>
          <w:sz w:val="20"/>
          <w:szCs w:val="20"/>
        </w:rPr>
        <w:t xml:space="preserve"> that identifiers may change prior to any final implementation); </w:t>
      </w:r>
    </w:p>
    <w:p w:rsidR="000502A8" w:rsidRPr="00F53433" w:rsidRDefault="00170621" w:rsidP="000502A8">
      <w:pPr>
        <w:pStyle w:val="Textbody"/>
        <w:numPr>
          <w:ilvl w:val="0"/>
          <w:numId w:val="9"/>
        </w:numPr>
        <w:spacing w:after="0"/>
        <w:ind w:left="714" w:hanging="357"/>
        <w:rPr>
          <w:sz w:val="20"/>
          <w:szCs w:val="20"/>
        </w:rPr>
      </w:pPr>
      <w:r w:rsidRPr="007E0067">
        <w:rPr>
          <w:sz w:val="20"/>
          <w:szCs w:val="20"/>
        </w:rPr>
        <w:t xml:space="preserve">flag as unstable those datasets whose </w:t>
      </w:r>
      <w:r w:rsidR="00F12A7F" w:rsidRPr="007E0067">
        <w:rPr>
          <w:sz w:val="20"/>
          <w:szCs w:val="20"/>
        </w:rPr>
        <w:t xml:space="preserve">local </w:t>
      </w:r>
      <w:r w:rsidRPr="007E0067">
        <w:rPr>
          <w:sz w:val="20"/>
          <w:szCs w:val="20"/>
        </w:rPr>
        <w:t xml:space="preserve">record identifiers are not </w:t>
      </w:r>
      <w:bookmarkStart w:id="0" w:name="__RefHeading__839_575471933"/>
      <w:bookmarkEnd w:id="0"/>
      <w:r w:rsidR="00F12A7F" w:rsidRPr="007E0067">
        <w:rPr>
          <w:sz w:val="20"/>
          <w:szCs w:val="20"/>
        </w:rPr>
        <w:t>stable</w:t>
      </w:r>
    </w:p>
    <w:p w:rsidR="00B025EA" w:rsidRDefault="00B025EA" w:rsidP="00B025EA">
      <w:pPr>
        <w:spacing w:before="360" w:after="0"/>
        <w:rPr>
          <w:b/>
          <w:sz w:val="32"/>
          <w:szCs w:val="32"/>
        </w:rPr>
      </w:pPr>
      <w:r>
        <w:rPr>
          <w:b/>
          <w:sz w:val="32"/>
          <w:szCs w:val="32"/>
        </w:rPr>
        <w:t>5. Enabling citation of GBIF mediated data</w:t>
      </w:r>
    </w:p>
    <w:p w:rsidR="00B025EA" w:rsidRDefault="00B025EA" w:rsidP="000502A8">
      <w:pPr>
        <w:pStyle w:val="Textbody"/>
        <w:spacing w:after="0"/>
        <w:rPr>
          <w:sz w:val="20"/>
          <w:szCs w:val="20"/>
        </w:rPr>
      </w:pPr>
    </w:p>
    <w:p w:rsidR="000502A8" w:rsidRDefault="00B025EA" w:rsidP="000502A8">
      <w:pPr>
        <w:pStyle w:val="Textbody"/>
        <w:spacing w:after="0"/>
        <w:rPr>
          <w:sz w:val="20"/>
          <w:szCs w:val="20"/>
        </w:rPr>
      </w:pPr>
      <w:r>
        <w:rPr>
          <w:sz w:val="20"/>
          <w:szCs w:val="20"/>
        </w:rPr>
        <w:t>T</w:t>
      </w:r>
      <w:r w:rsidR="000502A8">
        <w:rPr>
          <w:sz w:val="20"/>
          <w:szCs w:val="20"/>
        </w:rPr>
        <w:t>he following illustrates the envisaged workflow for ci</w:t>
      </w:r>
      <w:r>
        <w:rPr>
          <w:sz w:val="20"/>
          <w:szCs w:val="20"/>
        </w:rPr>
        <w:t>tation through the GBIF network where data download and re-use typically involve records derived from multiple datasets.</w:t>
      </w:r>
    </w:p>
    <w:p w:rsidR="000502A8" w:rsidRDefault="000502A8" w:rsidP="000502A8">
      <w:pPr>
        <w:pStyle w:val="Textbody"/>
        <w:spacing w:after="0"/>
        <w:rPr>
          <w:sz w:val="20"/>
          <w:szCs w:val="20"/>
        </w:rPr>
      </w:pPr>
    </w:p>
    <w:p w:rsidR="000502A8" w:rsidRDefault="00C40B27" w:rsidP="00C40B27">
      <w:pPr>
        <w:pStyle w:val="Textbody"/>
        <w:numPr>
          <w:ilvl w:val="0"/>
          <w:numId w:val="12"/>
        </w:numPr>
        <w:spacing w:after="0"/>
        <w:ind w:left="709"/>
        <w:rPr>
          <w:sz w:val="20"/>
          <w:szCs w:val="20"/>
        </w:rPr>
      </w:pPr>
      <w:r>
        <w:rPr>
          <w:sz w:val="20"/>
          <w:szCs w:val="20"/>
        </w:rPr>
        <w:t>a</w:t>
      </w:r>
      <w:r w:rsidR="000502A8">
        <w:rPr>
          <w:sz w:val="20"/>
          <w:szCs w:val="20"/>
        </w:rPr>
        <w:t xml:space="preserve">ll datasets are associated with a DOI </w:t>
      </w:r>
    </w:p>
    <w:p w:rsidR="000502A8" w:rsidRDefault="00C40B27" w:rsidP="00C40B27">
      <w:pPr>
        <w:pStyle w:val="Textbody"/>
        <w:numPr>
          <w:ilvl w:val="0"/>
          <w:numId w:val="12"/>
        </w:numPr>
        <w:spacing w:after="0"/>
        <w:ind w:left="709"/>
        <w:rPr>
          <w:sz w:val="20"/>
          <w:szCs w:val="20"/>
        </w:rPr>
      </w:pPr>
      <w:r>
        <w:rPr>
          <w:sz w:val="20"/>
          <w:szCs w:val="20"/>
        </w:rPr>
        <w:t>o</w:t>
      </w:r>
      <w:r w:rsidR="000502A8">
        <w:rPr>
          <w:sz w:val="20"/>
          <w:szCs w:val="20"/>
        </w:rPr>
        <w:t xml:space="preserve">n data </w:t>
      </w:r>
      <w:r w:rsidR="00B025EA">
        <w:rPr>
          <w:sz w:val="20"/>
          <w:szCs w:val="20"/>
        </w:rPr>
        <w:t>download</w:t>
      </w:r>
      <w:r w:rsidR="000502A8">
        <w:rPr>
          <w:sz w:val="20"/>
          <w:szCs w:val="20"/>
        </w:rPr>
        <w:t>, a citation file is created which references the source datasets by their DOIs</w:t>
      </w:r>
    </w:p>
    <w:p w:rsidR="000502A8" w:rsidRDefault="00C40B27" w:rsidP="00C40B27">
      <w:pPr>
        <w:pStyle w:val="Textbody"/>
        <w:numPr>
          <w:ilvl w:val="0"/>
          <w:numId w:val="12"/>
        </w:numPr>
        <w:spacing w:after="0"/>
        <w:ind w:left="709"/>
        <w:rPr>
          <w:sz w:val="20"/>
          <w:szCs w:val="20"/>
        </w:rPr>
      </w:pPr>
      <w:r>
        <w:rPr>
          <w:sz w:val="20"/>
          <w:szCs w:val="20"/>
        </w:rPr>
        <w:t>u</w:t>
      </w:r>
      <w:r w:rsidR="000502A8">
        <w:rPr>
          <w:sz w:val="20"/>
          <w:szCs w:val="20"/>
        </w:rPr>
        <w:t xml:space="preserve">sers of the </w:t>
      </w:r>
      <w:r w:rsidR="00B025EA">
        <w:rPr>
          <w:sz w:val="20"/>
          <w:szCs w:val="20"/>
        </w:rPr>
        <w:t>downloaded data</w:t>
      </w:r>
      <w:r w:rsidR="000502A8">
        <w:rPr>
          <w:sz w:val="20"/>
          <w:szCs w:val="20"/>
        </w:rPr>
        <w:t xml:space="preserve"> cite the data using the DOI for the citation</w:t>
      </w:r>
      <w:r w:rsidR="00B025EA">
        <w:rPr>
          <w:sz w:val="20"/>
          <w:szCs w:val="20"/>
        </w:rPr>
        <w:t xml:space="preserve"> file</w:t>
      </w:r>
    </w:p>
    <w:p w:rsidR="000502A8" w:rsidRDefault="000502A8" w:rsidP="000502A8">
      <w:pPr>
        <w:pStyle w:val="Textbody"/>
        <w:spacing w:after="0"/>
        <w:rPr>
          <w:sz w:val="20"/>
          <w:szCs w:val="20"/>
        </w:rPr>
      </w:pPr>
    </w:p>
    <w:p w:rsidR="0036309F" w:rsidRDefault="00F53433" w:rsidP="000502A8">
      <w:pPr>
        <w:pStyle w:val="Textbody"/>
        <w:spacing w:after="0"/>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3pt;margin-top:450.75pt;width:450.9pt;height:.05pt;z-index:251662336" wrapcoords="-36 0 -36 20463 21600 20463 21600 0 -36 0" stroked="f">
            <v:textbox style="mso-fit-shape-to-text:t" inset="0,0,0,0">
              <w:txbxContent>
                <w:p w:rsidR="00F53433" w:rsidRDefault="00F53433" w:rsidP="00F53433">
                  <w:pPr>
                    <w:pStyle w:val="Caption"/>
                  </w:pPr>
                </w:p>
                <w:p w:rsidR="00F53433" w:rsidRPr="009230B9" w:rsidRDefault="00F53433" w:rsidP="00F53433">
                  <w:pPr>
                    <w:pStyle w:val="Caption"/>
                    <w:rPr>
                      <w:rFonts w:ascii="Calibri" w:eastAsia="SimSun" w:hAnsi="Calibri" w:cs="Mangal"/>
                      <w:noProof/>
                      <w:sz w:val="20"/>
                      <w:szCs w:val="20"/>
                    </w:rPr>
                  </w:pPr>
                  <w:proofErr w:type="gramStart"/>
                  <w:r>
                    <w:t xml:space="preserve">Figure </w:t>
                  </w:r>
                  <w:fldSimple w:instr=" SEQ Figure \* ARABIC ">
                    <w:r>
                      <w:rPr>
                        <w:noProof/>
                      </w:rPr>
                      <w:t>1</w:t>
                    </w:r>
                  </w:fldSimple>
                  <w:r>
                    <w:t>.</w:t>
                  </w:r>
                  <w:proofErr w:type="gramEnd"/>
                  <w:r>
                    <w:t xml:space="preserve"> The envisaged workflow for issuing a citation for data downloaded from GBIF.</w:t>
                  </w:r>
                  <w:r>
                    <w:rPr>
                      <w:noProof/>
                    </w:rPr>
                    <w:t xml:space="preserve"> Reference is made to three types of DOI: i) for the individual datasets published to the GBIF network, ii) the DOI for a scientific publication, and iii) a DOI for the citation file that contains the DOIs of multiple datasets downloaded from GBIF for the analysis reported in the research paper.</w:t>
                  </w:r>
                </w:p>
              </w:txbxContent>
            </v:textbox>
            <w10:wrap type="tight"/>
          </v:shape>
        </w:pict>
      </w:r>
      <w:r w:rsidR="0036309F">
        <w:rPr>
          <w:noProof/>
          <w:sz w:val="20"/>
          <w:szCs w:val="20"/>
          <w:lang w:eastAsia="en-GB" w:bidi="ar-SA"/>
        </w:rPr>
        <w:drawing>
          <wp:anchor distT="0" distB="0" distL="114300" distR="114300" simplePos="0" relativeHeight="251660288" behindDoc="0" locked="0" layoutInCell="1" allowOverlap="1">
            <wp:simplePos x="0" y="0"/>
            <wp:positionH relativeFrom="column">
              <wp:posOffset>4135</wp:posOffset>
            </wp:positionH>
            <wp:positionV relativeFrom="paragraph">
              <wp:posOffset>916</wp:posOffset>
            </wp:positionV>
            <wp:extent cx="5726814" cy="5667153"/>
            <wp:effectExtent l="25400" t="0" r="0" b="0"/>
            <wp:wrapTight wrapText="bothSides">
              <wp:wrapPolygon edited="0">
                <wp:start x="6517" y="387"/>
                <wp:lineTo x="-96" y="1355"/>
                <wp:lineTo x="-96" y="2807"/>
                <wp:lineTo x="2204" y="3485"/>
                <wp:lineTo x="4888" y="3485"/>
                <wp:lineTo x="6325" y="5033"/>
                <wp:lineTo x="4984" y="5130"/>
                <wp:lineTo x="4984" y="5517"/>
                <wp:lineTo x="6134" y="6582"/>
                <wp:lineTo x="2684" y="8131"/>
                <wp:lineTo x="288" y="8712"/>
                <wp:lineTo x="-96" y="8905"/>
                <wp:lineTo x="-96" y="10357"/>
                <wp:lineTo x="3929" y="11228"/>
                <wp:lineTo x="6709" y="11228"/>
                <wp:lineTo x="3738" y="11809"/>
                <wp:lineTo x="3163" y="12003"/>
                <wp:lineTo x="3163" y="13261"/>
                <wp:lineTo x="2684" y="14326"/>
                <wp:lineTo x="2684" y="15197"/>
                <wp:lineTo x="7092" y="15875"/>
                <wp:lineTo x="-96" y="16165"/>
                <wp:lineTo x="-96" y="17520"/>
                <wp:lineTo x="3259" y="18972"/>
                <wp:lineTo x="1725" y="19456"/>
                <wp:lineTo x="1342" y="19746"/>
                <wp:lineTo x="1438" y="21489"/>
                <wp:lineTo x="7284" y="21489"/>
                <wp:lineTo x="8913" y="21489"/>
                <wp:lineTo x="17730" y="20714"/>
                <wp:lineTo x="17730" y="18972"/>
                <wp:lineTo x="18593" y="18972"/>
                <wp:lineTo x="21564" y="17810"/>
                <wp:lineTo x="21564" y="10938"/>
                <wp:lineTo x="18976" y="9680"/>
                <wp:lineTo x="19168" y="8324"/>
                <wp:lineTo x="13226" y="8131"/>
                <wp:lineTo x="12555" y="6582"/>
                <wp:lineTo x="14089" y="5033"/>
                <wp:lineTo x="16101" y="3581"/>
                <wp:lineTo x="16197" y="3485"/>
                <wp:lineTo x="15909" y="3001"/>
                <wp:lineTo x="14376" y="678"/>
                <wp:lineTo x="13993" y="387"/>
                <wp:lineTo x="6517" y="3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4525" cy="5668010"/>
                    </a:xfrm>
                    <a:prstGeom prst="rect">
                      <a:avLst/>
                    </a:prstGeom>
                    <a:noFill/>
                    <a:ln w="9525">
                      <a:noFill/>
                      <a:miter lim="800000"/>
                      <a:headEnd/>
                      <a:tailEnd/>
                    </a:ln>
                  </pic:spPr>
                </pic:pic>
              </a:graphicData>
            </a:graphic>
          </wp:anchor>
        </w:drawing>
      </w: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36309F" w:rsidRDefault="0036309F" w:rsidP="000502A8">
      <w:pPr>
        <w:pStyle w:val="Textbody"/>
        <w:spacing w:after="0"/>
        <w:rPr>
          <w:sz w:val="20"/>
          <w:szCs w:val="20"/>
        </w:rPr>
      </w:pPr>
    </w:p>
    <w:p w:rsidR="000502A8" w:rsidRDefault="000502A8" w:rsidP="000502A8">
      <w:pPr>
        <w:pStyle w:val="Textbody"/>
        <w:spacing w:after="0"/>
        <w:rPr>
          <w:sz w:val="20"/>
          <w:szCs w:val="20"/>
        </w:rPr>
      </w:pPr>
    </w:p>
    <w:p w:rsidR="000502A8" w:rsidRDefault="000502A8" w:rsidP="000502A8">
      <w:pPr>
        <w:pStyle w:val="Textbody"/>
        <w:spacing w:after="0"/>
        <w:rPr>
          <w:sz w:val="20"/>
          <w:szCs w:val="20"/>
        </w:rPr>
      </w:pPr>
    </w:p>
    <w:p w:rsidR="000502A8" w:rsidRDefault="000502A8" w:rsidP="000502A8">
      <w:pPr>
        <w:pStyle w:val="Textbody"/>
        <w:spacing w:after="0"/>
        <w:rPr>
          <w:sz w:val="20"/>
          <w:szCs w:val="20"/>
        </w:rPr>
      </w:pPr>
      <w:r>
        <w:rPr>
          <w:sz w:val="20"/>
          <w:szCs w:val="20"/>
        </w:rPr>
        <w:t>It should be noted in such an approach papers written using content acces</w:t>
      </w:r>
      <w:r w:rsidR="004816B3">
        <w:rPr>
          <w:sz w:val="20"/>
          <w:szCs w:val="20"/>
        </w:rPr>
        <w:t>sed through GBIF will refer to the</w:t>
      </w:r>
      <w:r>
        <w:rPr>
          <w:sz w:val="20"/>
          <w:szCs w:val="20"/>
        </w:rPr>
        <w:t xml:space="preserve"> GBIF DOI</w:t>
      </w:r>
      <w:r w:rsidR="004816B3">
        <w:rPr>
          <w:sz w:val="20"/>
          <w:szCs w:val="20"/>
        </w:rPr>
        <w:t xml:space="preserve"> for the citation file</w:t>
      </w:r>
      <w:r>
        <w:rPr>
          <w:sz w:val="20"/>
          <w:szCs w:val="20"/>
        </w:rPr>
        <w:t xml:space="preserve">, and not the </w:t>
      </w:r>
      <w:r w:rsidR="004816B3">
        <w:rPr>
          <w:sz w:val="20"/>
          <w:szCs w:val="20"/>
        </w:rPr>
        <w:t xml:space="preserve">individual </w:t>
      </w:r>
      <w:r>
        <w:rPr>
          <w:sz w:val="20"/>
          <w:szCs w:val="20"/>
        </w:rPr>
        <w:t>DOI</w:t>
      </w:r>
      <w:r w:rsidR="004816B3">
        <w:rPr>
          <w:sz w:val="20"/>
          <w:szCs w:val="20"/>
        </w:rPr>
        <w:t>s of the constituent datasets. There are pros and con</w:t>
      </w:r>
      <w:r>
        <w:rPr>
          <w:sz w:val="20"/>
          <w:szCs w:val="20"/>
        </w:rPr>
        <w:t>s to this approach:</w:t>
      </w:r>
    </w:p>
    <w:p w:rsidR="000502A8" w:rsidRDefault="000502A8" w:rsidP="000502A8">
      <w:pPr>
        <w:pStyle w:val="Textbody"/>
        <w:spacing w:after="0"/>
        <w:rPr>
          <w:sz w:val="20"/>
          <w:szCs w:val="20"/>
        </w:rPr>
      </w:pPr>
      <w:r w:rsidRPr="00F53433">
        <w:rPr>
          <w:b/>
          <w:sz w:val="20"/>
          <w:szCs w:val="20"/>
        </w:rPr>
        <w:t>Cons</w:t>
      </w:r>
      <w:r>
        <w:rPr>
          <w:sz w:val="20"/>
          <w:szCs w:val="20"/>
        </w:rPr>
        <w:t>:</w:t>
      </w:r>
    </w:p>
    <w:p w:rsidR="00F53433" w:rsidRDefault="000502A8" w:rsidP="000502A8">
      <w:pPr>
        <w:pStyle w:val="Textbody"/>
        <w:numPr>
          <w:ilvl w:val="0"/>
          <w:numId w:val="13"/>
        </w:numPr>
        <w:spacing w:after="0"/>
        <w:ind w:left="709"/>
        <w:rPr>
          <w:sz w:val="20"/>
          <w:szCs w:val="20"/>
        </w:rPr>
      </w:pPr>
      <w:r w:rsidRPr="00F53433">
        <w:rPr>
          <w:sz w:val="20"/>
          <w:szCs w:val="20"/>
        </w:rPr>
        <w:t>Currently</w:t>
      </w:r>
      <w:r w:rsidR="004816B3" w:rsidRPr="00F53433">
        <w:rPr>
          <w:sz w:val="20"/>
          <w:szCs w:val="20"/>
        </w:rPr>
        <w:t>,</w:t>
      </w:r>
      <w:r w:rsidRPr="00F53433">
        <w:rPr>
          <w:sz w:val="20"/>
          <w:szCs w:val="20"/>
        </w:rPr>
        <w:t xml:space="preserve"> journals and DOI networks do not make it easy </w:t>
      </w:r>
      <w:r w:rsidR="004816B3" w:rsidRPr="00F53433">
        <w:rPr>
          <w:sz w:val="20"/>
          <w:szCs w:val="20"/>
        </w:rPr>
        <w:t xml:space="preserve">for </w:t>
      </w:r>
      <w:r w:rsidRPr="00F53433">
        <w:rPr>
          <w:sz w:val="20"/>
          <w:szCs w:val="20"/>
        </w:rPr>
        <w:t>pe</w:t>
      </w:r>
      <w:r w:rsidR="004816B3" w:rsidRPr="00F53433">
        <w:rPr>
          <w:sz w:val="20"/>
          <w:szCs w:val="20"/>
        </w:rPr>
        <w:t xml:space="preserve">ople to view the citation graph, </w:t>
      </w:r>
      <w:r w:rsidRPr="00F53433">
        <w:rPr>
          <w:sz w:val="20"/>
          <w:szCs w:val="20"/>
        </w:rPr>
        <w:t>e.g.</w:t>
      </w:r>
      <w:r w:rsidR="004816B3" w:rsidRPr="00F53433">
        <w:rPr>
          <w:sz w:val="20"/>
          <w:szCs w:val="20"/>
        </w:rPr>
        <w:t>,</w:t>
      </w:r>
      <w:r w:rsidRPr="00F53433">
        <w:rPr>
          <w:sz w:val="20"/>
          <w:szCs w:val="20"/>
        </w:rPr>
        <w:t xml:space="preserve"> it is difficult to navigate beyond direct citations.  </w:t>
      </w:r>
    </w:p>
    <w:p w:rsidR="00F53433" w:rsidRDefault="00F53433" w:rsidP="00F53433">
      <w:pPr>
        <w:pStyle w:val="Textbody"/>
        <w:spacing w:after="0"/>
        <w:ind w:left="709"/>
        <w:rPr>
          <w:sz w:val="20"/>
          <w:szCs w:val="20"/>
        </w:rPr>
      </w:pPr>
    </w:p>
    <w:p w:rsidR="000502A8" w:rsidRPr="00F53433" w:rsidRDefault="000502A8" w:rsidP="00F53433">
      <w:pPr>
        <w:pStyle w:val="Textbody"/>
        <w:spacing w:after="0"/>
        <w:rPr>
          <w:sz w:val="20"/>
          <w:szCs w:val="20"/>
        </w:rPr>
      </w:pPr>
      <w:r w:rsidRPr="00F53433">
        <w:rPr>
          <w:b/>
          <w:sz w:val="20"/>
          <w:szCs w:val="20"/>
        </w:rPr>
        <w:t>Pros</w:t>
      </w:r>
      <w:r w:rsidRPr="00F53433">
        <w:rPr>
          <w:sz w:val="20"/>
          <w:szCs w:val="20"/>
        </w:rPr>
        <w:t>:</w:t>
      </w:r>
    </w:p>
    <w:p w:rsidR="000502A8" w:rsidRDefault="004816B3" w:rsidP="004816B3">
      <w:pPr>
        <w:pStyle w:val="Textbody"/>
        <w:numPr>
          <w:ilvl w:val="0"/>
          <w:numId w:val="13"/>
        </w:numPr>
        <w:spacing w:after="0"/>
        <w:ind w:left="709"/>
        <w:rPr>
          <w:sz w:val="20"/>
          <w:szCs w:val="20"/>
        </w:rPr>
      </w:pPr>
      <w:r>
        <w:rPr>
          <w:sz w:val="20"/>
          <w:szCs w:val="20"/>
        </w:rPr>
        <w:t>Data p</w:t>
      </w:r>
      <w:r w:rsidR="000502A8">
        <w:rPr>
          <w:sz w:val="20"/>
          <w:szCs w:val="20"/>
        </w:rPr>
        <w:t>ublishers can</w:t>
      </w:r>
      <w:r w:rsidR="00F53433">
        <w:rPr>
          <w:sz w:val="20"/>
          <w:szCs w:val="20"/>
        </w:rPr>
        <w:t>,</w:t>
      </w:r>
      <w:r w:rsidR="000502A8">
        <w:rPr>
          <w:sz w:val="20"/>
          <w:szCs w:val="20"/>
        </w:rPr>
        <w:t xml:space="preserve"> through the DOI mechanism, </w:t>
      </w:r>
      <w:r w:rsidR="00F53433">
        <w:rPr>
          <w:sz w:val="20"/>
          <w:szCs w:val="20"/>
        </w:rPr>
        <w:t xml:space="preserve">see </w:t>
      </w:r>
      <w:r w:rsidR="000502A8">
        <w:rPr>
          <w:sz w:val="20"/>
          <w:szCs w:val="20"/>
        </w:rPr>
        <w:t>how many times their data has been access</w:t>
      </w:r>
      <w:r>
        <w:rPr>
          <w:sz w:val="20"/>
          <w:szCs w:val="20"/>
        </w:rPr>
        <w:t>ed</w:t>
      </w:r>
      <w:r w:rsidR="000502A8">
        <w:rPr>
          <w:sz w:val="20"/>
          <w:szCs w:val="20"/>
        </w:rPr>
        <w:t xml:space="preserve"> through GBIF</w:t>
      </w:r>
    </w:p>
    <w:p w:rsidR="000502A8" w:rsidRDefault="000502A8" w:rsidP="004816B3">
      <w:pPr>
        <w:pStyle w:val="Textbody"/>
        <w:numPr>
          <w:ilvl w:val="0"/>
          <w:numId w:val="13"/>
        </w:numPr>
        <w:spacing w:after="0"/>
        <w:ind w:left="709"/>
        <w:rPr>
          <w:sz w:val="20"/>
          <w:szCs w:val="20"/>
        </w:rPr>
      </w:pPr>
      <w:r>
        <w:rPr>
          <w:sz w:val="20"/>
          <w:szCs w:val="20"/>
        </w:rPr>
        <w:t xml:space="preserve">GBIF could potentially index key journals and notify </w:t>
      </w:r>
      <w:r w:rsidR="004816B3">
        <w:rPr>
          <w:sz w:val="20"/>
          <w:szCs w:val="20"/>
        </w:rPr>
        <w:t xml:space="preserve">data </w:t>
      </w:r>
      <w:r>
        <w:rPr>
          <w:sz w:val="20"/>
          <w:szCs w:val="20"/>
        </w:rPr>
        <w:t>publishers when papers are written using their data</w:t>
      </w:r>
    </w:p>
    <w:p w:rsidR="000502A8" w:rsidRDefault="000502A8" w:rsidP="004816B3">
      <w:pPr>
        <w:pStyle w:val="Textbody"/>
        <w:numPr>
          <w:ilvl w:val="0"/>
          <w:numId w:val="13"/>
        </w:numPr>
        <w:spacing w:after="0"/>
        <w:ind w:left="709"/>
        <w:rPr>
          <w:sz w:val="20"/>
          <w:szCs w:val="20"/>
        </w:rPr>
      </w:pPr>
      <w:r>
        <w:rPr>
          <w:sz w:val="20"/>
          <w:szCs w:val="20"/>
        </w:rPr>
        <w:t xml:space="preserve">Users of GBIF will have a single clear mechanism to cite </w:t>
      </w:r>
      <w:r w:rsidR="004816B3">
        <w:rPr>
          <w:sz w:val="20"/>
          <w:szCs w:val="20"/>
        </w:rPr>
        <w:t>data publishers</w:t>
      </w:r>
      <w:r>
        <w:rPr>
          <w:sz w:val="20"/>
          <w:szCs w:val="20"/>
        </w:rPr>
        <w:t xml:space="preserve"> without having to cite potentially thousands of sources</w:t>
      </w:r>
    </w:p>
    <w:p w:rsidR="000502A8" w:rsidRDefault="000502A8" w:rsidP="000502A8">
      <w:pPr>
        <w:pStyle w:val="Textbody"/>
        <w:spacing w:after="0"/>
        <w:rPr>
          <w:sz w:val="20"/>
          <w:szCs w:val="20"/>
        </w:rPr>
      </w:pPr>
    </w:p>
    <w:p w:rsidR="00F53433" w:rsidRDefault="00F53433" w:rsidP="000502A8">
      <w:pPr>
        <w:pStyle w:val="Textbody"/>
        <w:spacing w:after="0"/>
        <w:rPr>
          <w:sz w:val="20"/>
          <w:szCs w:val="20"/>
        </w:rPr>
      </w:pPr>
    </w:p>
    <w:p w:rsidR="00F53433" w:rsidRPr="00213CBC" w:rsidRDefault="00F53433" w:rsidP="000502A8">
      <w:pPr>
        <w:pStyle w:val="Textbody"/>
        <w:spacing w:after="0"/>
        <w:rPr>
          <w:sz w:val="20"/>
          <w:szCs w:val="20"/>
        </w:rPr>
      </w:pPr>
    </w:p>
    <w:tbl>
      <w:tblPr>
        <w:tblStyle w:val="TableGrid"/>
        <w:tblW w:w="0" w:type="auto"/>
        <w:tblInd w:w="-318" w:type="dxa"/>
        <w:tblLook w:val="04A0"/>
      </w:tblPr>
      <w:tblGrid>
        <w:gridCol w:w="9560"/>
      </w:tblGrid>
      <w:tr w:rsidR="00F306A4">
        <w:trPr>
          <w:trHeight w:val="3503"/>
        </w:trPr>
        <w:tc>
          <w:tcPr>
            <w:tcW w:w="9640" w:type="dxa"/>
            <w:shd w:val="clear" w:color="auto" w:fill="CCFFCC"/>
          </w:tcPr>
          <w:p w:rsidR="00F306A4" w:rsidRDefault="00F306A4" w:rsidP="00B01A43">
            <w:pPr>
              <w:jc w:val="center"/>
              <w:rPr>
                <w:rFonts w:cs="TimesNewRomanPS-BoldMT"/>
                <w:b/>
              </w:rPr>
            </w:pPr>
          </w:p>
          <w:p w:rsidR="00E006CD" w:rsidRDefault="00E006CD" w:rsidP="00B01A43">
            <w:pPr>
              <w:jc w:val="center"/>
              <w:rPr>
                <w:rFonts w:cs="TimesNewRomanPS-BoldMT"/>
                <w:b/>
              </w:rPr>
            </w:pPr>
          </w:p>
          <w:p w:rsidR="00E006CD" w:rsidRDefault="00E006CD" w:rsidP="00B01A43">
            <w:pPr>
              <w:jc w:val="center"/>
              <w:rPr>
                <w:rFonts w:cs="TimesNewRomanPS-BoldMT"/>
                <w:b/>
              </w:rPr>
            </w:pPr>
          </w:p>
          <w:p w:rsidR="00F306A4" w:rsidRDefault="00F306A4" w:rsidP="00B01A43">
            <w:pPr>
              <w:jc w:val="center"/>
              <w:rPr>
                <w:rFonts w:cs="TimesNewRomanPS-BoldMT"/>
                <w:b/>
              </w:rPr>
            </w:pPr>
            <w:r>
              <w:rPr>
                <w:rFonts w:cs="TimesNewRomanPS-BoldMT"/>
                <w:b/>
              </w:rPr>
              <w:t xml:space="preserve">Please send observations and responses, by </w:t>
            </w:r>
            <w:r w:rsidR="00937B0B">
              <w:rPr>
                <w:rFonts w:cs="TimesNewRomanPS-BoldMT"/>
                <w:b/>
              </w:rPr>
              <w:t>1</w:t>
            </w:r>
            <w:r>
              <w:rPr>
                <w:rFonts w:cs="TimesNewRomanPS-BoldMT"/>
                <w:b/>
              </w:rPr>
              <w:t xml:space="preserve"> </w:t>
            </w:r>
            <w:r w:rsidR="00937B0B">
              <w:rPr>
                <w:rFonts w:cs="TimesNewRomanPS-BoldMT"/>
                <w:b/>
              </w:rPr>
              <w:t>September</w:t>
            </w:r>
            <w:r>
              <w:rPr>
                <w:rFonts w:cs="TimesNewRomanPS-BoldMT"/>
                <w:b/>
              </w:rPr>
              <w:t>, to</w:t>
            </w:r>
            <w:r w:rsidRPr="00D939AF">
              <w:rPr>
                <w:rFonts w:cs="TimesNewRomanPS-BoldMT"/>
                <w:b/>
              </w:rPr>
              <w:t>:</w:t>
            </w:r>
          </w:p>
          <w:p w:rsidR="00F306A4" w:rsidRDefault="002625E4" w:rsidP="00B01A43">
            <w:pPr>
              <w:jc w:val="center"/>
              <w:rPr>
                <w:rFonts w:cs="TimesNewRomanPS-BoldMT"/>
                <w:b/>
              </w:rPr>
            </w:pPr>
            <w:hyperlink r:id="rId14" w:history="1">
              <w:r w:rsidR="00F306A4" w:rsidRPr="00C30A4E">
                <w:rPr>
                  <w:rStyle w:val="Hyperlink"/>
                  <w:rFonts w:cs="TimesNewRomanPS-BoldMT"/>
                  <w:b/>
                </w:rPr>
                <w:t>identifiers@gbif.org</w:t>
              </w:r>
            </w:hyperlink>
          </w:p>
          <w:p w:rsidR="00F306A4" w:rsidRPr="00D939AF" w:rsidRDefault="00F306A4" w:rsidP="00B01A43">
            <w:pPr>
              <w:jc w:val="center"/>
              <w:rPr>
                <w:rFonts w:cs="TimesNewRomanPS-BoldMT"/>
                <w:b/>
              </w:rPr>
            </w:pPr>
          </w:p>
          <w:p w:rsidR="00F306A4" w:rsidRPr="00D939AF" w:rsidRDefault="00F306A4" w:rsidP="00B01A43">
            <w:pPr>
              <w:jc w:val="center"/>
              <w:rPr>
                <w:rFonts w:cs="TimesNewRomanPS-BoldMT"/>
                <w:b/>
              </w:rPr>
            </w:pPr>
            <w:r>
              <w:rPr>
                <w:rFonts w:cs="TimesNewRomanPS-BoldMT"/>
                <w:b/>
              </w:rPr>
              <w:t>For any inquiries or clarifications about this briefing, contact:</w:t>
            </w:r>
          </w:p>
          <w:p w:rsidR="00F306A4" w:rsidRDefault="00F306A4" w:rsidP="00B01A43">
            <w:pPr>
              <w:jc w:val="center"/>
              <w:rPr>
                <w:rFonts w:cs="TimesNewRomanPS-BoldMT"/>
              </w:rPr>
            </w:pPr>
            <w:r>
              <w:rPr>
                <w:rFonts w:cs="TimesNewRomanPS-BoldMT"/>
              </w:rPr>
              <w:t>Éamonn Ó Tuama</w:t>
            </w:r>
          </w:p>
          <w:p w:rsidR="00F306A4" w:rsidRDefault="00F306A4" w:rsidP="00B01A43">
            <w:pPr>
              <w:jc w:val="center"/>
              <w:rPr>
                <w:rFonts w:cs="TimesNewRomanPS-BoldMT"/>
              </w:rPr>
            </w:pPr>
            <w:r>
              <w:rPr>
                <w:rFonts w:cs="TimesNewRomanPS-BoldMT"/>
              </w:rPr>
              <w:t>Senior Programme Officer for Interoperability</w:t>
            </w:r>
          </w:p>
          <w:p w:rsidR="00F306A4" w:rsidRDefault="00F306A4" w:rsidP="00B01A43">
            <w:pPr>
              <w:jc w:val="center"/>
              <w:rPr>
                <w:rFonts w:cs="TimesNewRomanPS-BoldMT"/>
              </w:rPr>
            </w:pPr>
            <w:r>
              <w:rPr>
                <w:rFonts w:cs="TimesNewRomanPS-BoldMT"/>
              </w:rPr>
              <w:t>GBIF Secretariat</w:t>
            </w:r>
          </w:p>
          <w:p w:rsidR="00F306A4" w:rsidRDefault="002625E4" w:rsidP="00B01A43">
            <w:pPr>
              <w:jc w:val="center"/>
              <w:rPr>
                <w:rFonts w:cs="TimesNewRomanPS-BoldMT"/>
              </w:rPr>
            </w:pPr>
            <w:hyperlink r:id="rId15" w:history="1">
              <w:r w:rsidR="00F306A4" w:rsidRPr="00C30A4E">
                <w:rPr>
                  <w:rStyle w:val="Hyperlink"/>
                  <w:rFonts w:cs="TimesNewRomanPS-BoldMT"/>
                </w:rPr>
                <w:t>eotuama@gbif.org</w:t>
              </w:r>
            </w:hyperlink>
          </w:p>
          <w:p w:rsidR="00F306A4" w:rsidRPr="00937B0B" w:rsidRDefault="00F306A4" w:rsidP="00E006CD">
            <w:pPr>
              <w:rPr>
                <w:rFonts w:cs="TimesNewRomanPS-BoldMT"/>
              </w:rPr>
            </w:pPr>
          </w:p>
        </w:tc>
      </w:tr>
    </w:tbl>
    <w:p w:rsidR="00F306A4" w:rsidRPr="007E0067" w:rsidRDefault="00F306A4" w:rsidP="00F306A4">
      <w:pPr>
        <w:pStyle w:val="Textbody"/>
        <w:spacing w:after="0"/>
        <w:ind w:left="357"/>
        <w:rPr>
          <w:sz w:val="20"/>
          <w:szCs w:val="20"/>
        </w:rPr>
      </w:pPr>
    </w:p>
    <w:sectPr w:rsidR="00F306A4" w:rsidRPr="007E0067" w:rsidSect="007C597E">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9B" w:rsidRDefault="002D6F9B" w:rsidP="004C4651">
      <w:pPr>
        <w:spacing w:after="0" w:line="240" w:lineRule="auto"/>
      </w:pPr>
      <w:r>
        <w:separator/>
      </w:r>
    </w:p>
  </w:endnote>
  <w:endnote w:type="continuationSeparator" w:id="0">
    <w:p w:rsidR="002D6F9B" w:rsidRDefault="002D6F9B" w:rsidP="004C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51" w:rsidRDefault="004C4651" w:rsidP="004C4651">
    <w:pPr>
      <w:pStyle w:val="Default"/>
    </w:pPr>
  </w:p>
  <w:p w:rsidR="004C4651" w:rsidRDefault="004C4651" w:rsidP="004C4651">
    <w:pPr>
      <w:pStyle w:val="Footer"/>
      <w:jc w:val="center"/>
      <w:rPr>
        <w:color w:val="323232"/>
        <w:szCs w:val="20"/>
      </w:rPr>
    </w:pPr>
    <w:r>
      <w:rPr>
        <w:color w:val="323232"/>
        <w:szCs w:val="20"/>
      </w:rPr>
      <w:t xml:space="preserve">GBIF Secretariat • </w:t>
    </w:r>
    <w:proofErr w:type="spellStart"/>
    <w:r>
      <w:rPr>
        <w:color w:val="323232"/>
        <w:szCs w:val="20"/>
      </w:rPr>
      <w:t>Universitetsparken</w:t>
    </w:r>
    <w:proofErr w:type="spellEnd"/>
    <w:r>
      <w:rPr>
        <w:color w:val="323232"/>
        <w:szCs w:val="20"/>
      </w:rPr>
      <w:t xml:space="preserve"> 15 • DK-2100 Copenhagen Ø • Denmark </w:t>
    </w:r>
  </w:p>
  <w:p w:rsidR="004C4651" w:rsidRDefault="004C4651" w:rsidP="004C4651">
    <w:pPr>
      <w:pStyle w:val="Footer"/>
      <w:jc w:val="center"/>
    </w:pPr>
    <w:r>
      <w:rPr>
        <w:color w:val="323232"/>
        <w:szCs w:val="20"/>
      </w:rPr>
      <w:t>Tel: +45 35 32 14 70 • Fax: +45 35 32 14 80 • E-mail: gbif@gbif.org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9B" w:rsidRDefault="002D6F9B" w:rsidP="004C4651">
      <w:pPr>
        <w:spacing w:after="0" w:line="240" w:lineRule="auto"/>
      </w:pPr>
      <w:r>
        <w:separator/>
      </w:r>
    </w:p>
  </w:footnote>
  <w:footnote w:type="continuationSeparator" w:id="0">
    <w:p w:rsidR="002D6F9B" w:rsidRDefault="002D6F9B" w:rsidP="004C4651">
      <w:pPr>
        <w:spacing w:after="0" w:line="240" w:lineRule="auto"/>
      </w:pPr>
      <w:r>
        <w:continuationSeparator/>
      </w:r>
    </w:p>
  </w:footnote>
  <w:footnote w:id="1">
    <w:p w:rsidR="00105B73" w:rsidRPr="00DB11CA" w:rsidRDefault="00105B73" w:rsidP="00DB11CA">
      <w:pPr>
        <w:pStyle w:val="FootnoteText"/>
        <w:rPr>
          <w:sz w:val="16"/>
          <w:szCs w:val="16"/>
        </w:rPr>
      </w:pPr>
      <w:r w:rsidRPr="00DB11CA">
        <w:rPr>
          <w:rStyle w:val="FootnoteReference"/>
          <w:sz w:val="16"/>
          <w:szCs w:val="16"/>
        </w:rPr>
        <w:footnoteRef/>
      </w:r>
      <w:r w:rsidRPr="00DB11CA">
        <w:rPr>
          <w:sz w:val="16"/>
          <w:szCs w:val="16"/>
        </w:rPr>
        <w:t xml:space="preserve"> </w:t>
      </w:r>
      <w:r w:rsidR="00DB11CA">
        <w:rPr>
          <w:sz w:val="16"/>
          <w:szCs w:val="16"/>
        </w:rPr>
        <w:t xml:space="preserve"> </w:t>
      </w:r>
      <w:r w:rsidRPr="00DB11CA">
        <w:rPr>
          <w:sz w:val="16"/>
          <w:szCs w:val="16"/>
        </w:rPr>
        <w:t>http://www.doi.org/</w:t>
      </w:r>
    </w:p>
  </w:footnote>
  <w:footnote w:id="2">
    <w:p w:rsidR="00105B73" w:rsidRPr="00DB11CA" w:rsidRDefault="00105B73" w:rsidP="00DB11CA">
      <w:pPr>
        <w:pStyle w:val="FootnoteText"/>
        <w:rPr>
          <w:sz w:val="16"/>
          <w:szCs w:val="16"/>
        </w:rPr>
      </w:pPr>
      <w:r w:rsidRPr="00DB11CA">
        <w:rPr>
          <w:rStyle w:val="FootnoteReference"/>
          <w:sz w:val="16"/>
          <w:szCs w:val="16"/>
        </w:rPr>
        <w:footnoteRef/>
      </w:r>
      <w:r w:rsidRPr="00DB11CA">
        <w:rPr>
          <w:sz w:val="16"/>
          <w:szCs w:val="16"/>
        </w:rPr>
        <w:t xml:space="preserve"> </w:t>
      </w:r>
      <w:r w:rsidR="00DB11CA">
        <w:rPr>
          <w:sz w:val="16"/>
          <w:szCs w:val="16"/>
        </w:rPr>
        <w:t xml:space="preserve"> </w:t>
      </w:r>
      <w:r w:rsidRPr="00DB11CA">
        <w:rPr>
          <w:sz w:val="16"/>
          <w:szCs w:val="16"/>
        </w:rPr>
        <w:t>http://datacite.org</w:t>
      </w:r>
    </w:p>
  </w:footnote>
  <w:footnote w:id="3">
    <w:p w:rsidR="00105B73" w:rsidRPr="00DB11CA" w:rsidRDefault="00105B73" w:rsidP="00DB11CA">
      <w:pPr>
        <w:pStyle w:val="FootnoteText"/>
        <w:ind w:left="142" w:hanging="142"/>
        <w:rPr>
          <w:sz w:val="16"/>
          <w:szCs w:val="16"/>
        </w:rPr>
      </w:pPr>
      <w:r w:rsidRPr="00DB11CA">
        <w:rPr>
          <w:rStyle w:val="FootnoteReference"/>
          <w:sz w:val="16"/>
          <w:szCs w:val="16"/>
        </w:rPr>
        <w:footnoteRef/>
      </w:r>
      <w:r w:rsidRPr="00DB11CA">
        <w:rPr>
          <w:sz w:val="16"/>
          <w:szCs w:val="16"/>
        </w:rPr>
        <w:t xml:space="preserve"> </w:t>
      </w:r>
      <w:r w:rsidR="00DB11CA">
        <w:rPr>
          <w:sz w:val="16"/>
          <w:szCs w:val="16"/>
        </w:rPr>
        <w:t xml:space="preserve"> </w:t>
      </w:r>
      <w:r w:rsidRPr="00DB11CA">
        <w:rPr>
          <w:sz w:val="16"/>
          <w:szCs w:val="16"/>
        </w:rPr>
        <w:t xml:space="preserve">Chavan V, Penev L. 2011. The data paper: A mechanism to incentivise data publishing in biodiversity science. BMC Bioinformatics 12 </w:t>
      </w:r>
      <w:r w:rsidR="00DB11CA">
        <w:rPr>
          <w:sz w:val="16"/>
          <w:szCs w:val="16"/>
        </w:rPr>
        <w:t xml:space="preserve"> </w:t>
      </w:r>
      <w:r w:rsidRPr="00DB11CA">
        <w:rPr>
          <w:sz w:val="16"/>
          <w:szCs w:val="16"/>
        </w:rPr>
        <w:t>(suppl. 15): S2</w:t>
      </w:r>
    </w:p>
  </w:footnote>
  <w:footnote w:id="4">
    <w:p w:rsidR="00DB11CA" w:rsidRPr="00DB11CA" w:rsidRDefault="00DB11CA" w:rsidP="00DB11CA">
      <w:pPr>
        <w:pStyle w:val="FootnoteText"/>
        <w:rPr>
          <w:sz w:val="16"/>
          <w:szCs w:val="16"/>
        </w:rPr>
      </w:pPr>
      <w:r w:rsidRPr="00DB11CA">
        <w:rPr>
          <w:rStyle w:val="FootnoteReference"/>
          <w:sz w:val="16"/>
          <w:szCs w:val="16"/>
        </w:rPr>
        <w:footnoteRef/>
      </w:r>
      <w:r w:rsidRPr="00DB11CA">
        <w:rPr>
          <w:sz w:val="16"/>
          <w:szCs w:val="16"/>
        </w:rPr>
        <w:t xml:space="preserve"> </w:t>
      </w:r>
      <w:r>
        <w:rPr>
          <w:sz w:val="16"/>
          <w:szCs w:val="16"/>
        </w:rPr>
        <w:t xml:space="preserve"> </w:t>
      </w:r>
      <w:r w:rsidRPr="00DB11CA">
        <w:rPr>
          <w:sz w:val="16"/>
          <w:szCs w:val="16"/>
        </w:rPr>
        <w:t>http://www.doi.org/doi_handbook/1_Introduction.html</w:t>
      </w:r>
    </w:p>
  </w:footnote>
  <w:footnote w:id="5">
    <w:p w:rsidR="00DB11CA" w:rsidRDefault="00DB11CA" w:rsidP="00DB11CA">
      <w:pPr>
        <w:pStyle w:val="FootnoteText"/>
      </w:pPr>
      <w:r w:rsidRPr="00DB11CA">
        <w:rPr>
          <w:rStyle w:val="FootnoteReference"/>
          <w:sz w:val="16"/>
          <w:szCs w:val="16"/>
        </w:rPr>
        <w:footnoteRef/>
      </w:r>
      <w:r w:rsidRPr="00DB11CA">
        <w:rPr>
          <w:sz w:val="16"/>
          <w:szCs w:val="16"/>
        </w:rPr>
        <w:t xml:space="preserve"> </w:t>
      </w:r>
      <w:r>
        <w:rPr>
          <w:sz w:val="16"/>
          <w:szCs w:val="16"/>
        </w:rPr>
        <w:t xml:space="preserve"> </w:t>
      </w:r>
      <w:r w:rsidRPr="00DB11CA">
        <w:rPr>
          <w:sz w:val="16"/>
          <w:szCs w:val="16"/>
        </w:rPr>
        <w:t>http://schema.datacite.org/meta/kernel-2.2/doc/DataCite-MetadataKernel_v2.2.pdf</w:t>
      </w:r>
      <w:r w:rsidRPr="00DB11CA">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97E"/>
    <w:multiLevelType w:val="hybridMultilevel"/>
    <w:tmpl w:val="341430DC"/>
    <w:lvl w:ilvl="0" w:tplc="D68EABB0">
      <w:start w:val="2"/>
      <w:numFmt w:val="bullet"/>
      <w:lvlText w:val="-"/>
      <w:lvlJc w:val="left"/>
      <w:pPr>
        <w:ind w:left="720" w:hanging="360"/>
      </w:pPr>
      <w:rPr>
        <w:rFonts w:ascii="Calibri" w:eastAsia="SimSun" w:hAnsi="Calibri"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536B"/>
    <w:multiLevelType w:val="hybridMultilevel"/>
    <w:tmpl w:val="E9BC6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A60FB4"/>
    <w:multiLevelType w:val="hybridMultilevel"/>
    <w:tmpl w:val="38EAB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0F7112"/>
    <w:multiLevelType w:val="multilevel"/>
    <w:tmpl w:val="636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3E0A31"/>
    <w:multiLevelType w:val="multilevel"/>
    <w:tmpl w:val="347A84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B87902"/>
    <w:multiLevelType w:val="multilevel"/>
    <w:tmpl w:val="24F8B9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224347"/>
    <w:multiLevelType w:val="hybridMultilevel"/>
    <w:tmpl w:val="88A6B8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C861AC"/>
    <w:multiLevelType w:val="hybridMultilevel"/>
    <w:tmpl w:val="7EAA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E7767C"/>
    <w:multiLevelType w:val="hybridMultilevel"/>
    <w:tmpl w:val="2704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4F77F3"/>
    <w:multiLevelType w:val="multilevel"/>
    <w:tmpl w:val="CD76D0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87E6E53"/>
    <w:multiLevelType w:val="multilevel"/>
    <w:tmpl w:val="636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47A4722"/>
    <w:multiLevelType w:val="multilevel"/>
    <w:tmpl w:val="347A84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C337255"/>
    <w:multiLevelType w:val="hybridMultilevel"/>
    <w:tmpl w:val="7F52C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11"/>
  </w:num>
  <w:num w:numId="6">
    <w:abstractNumId w:val="4"/>
  </w:num>
  <w:num w:numId="7">
    <w:abstractNumId w:val="9"/>
  </w:num>
  <w:num w:numId="8">
    <w:abstractNumId w:val="5"/>
  </w:num>
  <w:num w:numId="9">
    <w:abstractNumId w:val="10"/>
  </w:num>
  <w:num w:numId="10">
    <w:abstractNumId w:val="3"/>
  </w:num>
  <w:num w:numId="11">
    <w:abstractNumId w:val="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4C4651"/>
    <w:rsid w:val="000502A8"/>
    <w:rsid w:val="00054F56"/>
    <w:rsid w:val="000A1002"/>
    <w:rsid w:val="000A6DAF"/>
    <w:rsid w:val="000C5396"/>
    <w:rsid w:val="000E4F84"/>
    <w:rsid w:val="00101F8E"/>
    <w:rsid w:val="00105B73"/>
    <w:rsid w:val="00170621"/>
    <w:rsid w:val="00213CBC"/>
    <w:rsid w:val="0021440B"/>
    <w:rsid w:val="002407D4"/>
    <w:rsid w:val="002625E4"/>
    <w:rsid w:val="002D4586"/>
    <w:rsid w:val="002D6F9B"/>
    <w:rsid w:val="002F6B7B"/>
    <w:rsid w:val="0036309F"/>
    <w:rsid w:val="0036548A"/>
    <w:rsid w:val="00372AB9"/>
    <w:rsid w:val="003736EC"/>
    <w:rsid w:val="004816B3"/>
    <w:rsid w:val="004C4651"/>
    <w:rsid w:val="005A2653"/>
    <w:rsid w:val="005A596B"/>
    <w:rsid w:val="005B4BA4"/>
    <w:rsid w:val="00607507"/>
    <w:rsid w:val="00684D7B"/>
    <w:rsid w:val="006E3EF9"/>
    <w:rsid w:val="00717119"/>
    <w:rsid w:val="00727765"/>
    <w:rsid w:val="00777680"/>
    <w:rsid w:val="007933FE"/>
    <w:rsid w:val="00797BD3"/>
    <w:rsid w:val="007A1CA6"/>
    <w:rsid w:val="007A739B"/>
    <w:rsid w:val="007C597E"/>
    <w:rsid w:val="007E0067"/>
    <w:rsid w:val="007E2500"/>
    <w:rsid w:val="007E373B"/>
    <w:rsid w:val="008024D2"/>
    <w:rsid w:val="00886321"/>
    <w:rsid w:val="00891DD1"/>
    <w:rsid w:val="008B55E9"/>
    <w:rsid w:val="00930044"/>
    <w:rsid w:val="00937B0B"/>
    <w:rsid w:val="00956997"/>
    <w:rsid w:val="00961664"/>
    <w:rsid w:val="009A5C61"/>
    <w:rsid w:val="00A0222A"/>
    <w:rsid w:val="00A04CF3"/>
    <w:rsid w:val="00B025EA"/>
    <w:rsid w:val="00B02729"/>
    <w:rsid w:val="00B2231C"/>
    <w:rsid w:val="00C33D66"/>
    <w:rsid w:val="00C35291"/>
    <w:rsid w:val="00C40B27"/>
    <w:rsid w:val="00C54A85"/>
    <w:rsid w:val="00C9246B"/>
    <w:rsid w:val="00C950E1"/>
    <w:rsid w:val="00CD02F7"/>
    <w:rsid w:val="00D4154D"/>
    <w:rsid w:val="00D60EAF"/>
    <w:rsid w:val="00D6585A"/>
    <w:rsid w:val="00D73135"/>
    <w:rsid w:val="00DB11CA"/>
    <w:rsid w:val="00E006CD"/>
    <w:rsid w:val="00E00747"/>
    <w:rsid w:val="00E008D7"/>
    <w:rsid w:val="00E16B2B"/>
    <w:rsid w:val="00E60E3D"/>
    <w:rsid w:val="00E63BEF"/>
    <w:rsid w:val="00F11A62"/>
    <w:rsid w:val="00F12A7F"/>
    <w:rsid w:val="00F1490A"/>
    <w:rsid w:val="00F17C62"/>
    <w:rsid w:val="00F306A4"/>
    <w:rsid w:val="00F51B3C"/>
    <w:rsid w:val="00F534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AF"/>
    <w:rPr>
      <w:sz w:val="20"/>
    </w:rPr>
  </w:style>
  <w:style w:type="paragraph" w:styleId="Heading1">
    <w:name w:val="heading 1"/>
    <w:basedOn w:val="Normal"/>
    <w:next w:val="Normal"/>
    <w:link w:val="Heading1Char"/>
    <w:qFormat/>
    <w:rsid w:val="004C4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C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body"/>
    <w:link w:val="Heading3Char"/>
    <w:rsid w:val="00F51B3C"/>
    <w:pPr>
      <w:keepNext/>
      <w:widowControl w:val="0"/>
      <w:tabs>
        <w:tab w:val="num" w:pos="720"/>
      </w:tabs>
      <w:suppressAutoHyphens/>
      <w:spacing w:before="240" w:after="120"/>
      <w:ind w:left="720" w:hanging="720"/>
      <w:outlineLvl w:val="2"/>
    </w:pPr>
    <w:rPr>
      <w:rFonts w:ascii="Arial" w:eastAsia="Microsoft YaHei" w:hAnsi="Arial" w:cs="Mangal"/>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51"/>
    <w:pPr>
      <w:ind w:left="720"/>
      <w:contextualSpacing/>
    </w:pPr>
  </w:style>
  <w:style w:type="paragraph" w:styleId="Title">
    <w:name w:val="Title"/>
    <w:basedOn w:val="Normal"/>
    <w:next w:val="Normal"/>
    <w:link w:val="TitleChar"/>
    <w:uiPriority w:val="10"/>
    <w:qFormat/>
    <w:rsid w:val="004C4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4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C465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C46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651"/>
  </w:style>
  <w:style w:type="paragraph" w:styleId="Footer">
    <w:name w:val="footer"/>
    <w:basedOn w:val="Normal"/>
    <w:link w:val="FooterChar"/>
    <w:uiPriority w:val="99"/>
    <w:semiHidden/>
    <w:unhideWhenUsed/>
    <w:rsid w:val="004C46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651"/>
  </w:style>
  <w:style w:type="paragraph" w:customStyle="1" w:styleId="Default">
    <w:name w:val="Default"/>
    <w:rsid w:val="004C4651"/>
    <w:pPr>
      <w:autoSpaceDE w:val="0"/>
      <w:autoSpaceDN w:val="0"/>
      <w:adjustRightInd w:val="0"/>
      <w:spacing w:after="0" w:line="240" w:lineRule="auto"/>
    </w:pPr>
    <w:rPr>
      <w:rFonts w:ascii="Trebuchet MS" w:hAnsi="Trebuchet MS" w:cs="Trebuchet MS"/>
      <w:color w:val="000000"/>
      <w:sz w:val="24"/>
      <w:szCs w:val="24"/>
    </w:rPr>
  </w:style>
  <w:style w:type="paragraph" w:customStyle="1" w:styleId="Textbody">
    <w:name w:val="Text body"/>
    <w:basedOn w:val="Normal"/>
    <w:rsid w:val="00D73135"/>
    <w:pPr>
      <w:widowControl w:val="0"/>
      <w:suppressAutoHyphens/>
      <w:spacing w:after="120"/>
    </w:pPr>
    <w:rPr>
      <w:rFonts w:ascii="Calibri" w:eastAsia="SimSun" w:hAnsi="Calibri" w:cs="Mangal"/>
      <w:sz w:val="24"/>
      <w:szCs w:val="24"/>
      <w:lang w:eastAsia="zh-CN" w:bidi="hi-IN"/>
    </w:rPr>
  </w:style>
  <w:style w:type="character" w:customStyle="1" w:styleId="InternetLink">
    <w:name w:val="Internet Link"/>
    <w:rsid w:val="00727765"/>
    <w:rPr>
      <w:color w:val="000080"/>
      <w:u w:val="single"/>
      <w:lang w:val="en-US" w:eastAsia="en-US" w:bidi="en-US"/>
    </w:rPr>
  </w:style>
  <w:style w:type="character" w:styleId="CommentReference">
    <w:name w:val="annotation reference"/>
    <w:basedOn w:val="DefaultParagraphFont"/>
    <w:uiPriority w:val="99"/>
    <w:semiHidden/>
    <w:unhideWhenUsed/>
    <w:rsid w:val="00A0222A"/>
    <w:rPr>
      <w:sz w:val="16"/>
      <w:szCs w:val="16"/>
    </w:rPr>
  </w:style>
  <w:style w:type="paragraph" w:styleId="CommentText">
    <w:name w:val="annotation text"/>
    <w:basedOn w:val="Normal"/>
    <w:link w:val="CommentTextChar"/>
    <w:uiPriority w:val="99"/>
    <w:semiHidden/>
    <w:unhideWhenUsed/>
    <w:rsid w:val="00A0222A"/>
    <w:pPr>
      <w:widowControl w:val="0"/>
      <w:suppressAutoHyphens/>
      <w:spacing w:line="240" w:lineRule="auto"/>
    </w:pPr>
    <w:rPr>
      <w:rFonts w:ascii="Times New Roman" w:eastAsia="SimSun" w:hAnsi="Times New Roman" w:cs="Mangal"/>
      <w:szCs w:val="18"/>
      <w:lang w:eastAsia="zh-CN" w:bidi="hi-IN"/>
    </w:rPr>
  </w:style>
  <w:style w:type="character" w:customStyle="1" w:styleId="CommentTextChar">
    <w:name w:val="Comment Text Char"/>
    <w:basedOn w:val="DefaultParagraphFont"/>
    <w:link w:val="CommentText"/>
    <w:uiPriority w:val="99"/>
    <w:semiHidden/>
    <w:rsid w:val="00A0222A"/>
    <w:rPr>
      <w:rFonts w:ascii="Times New Roman" w:eastAsia="SimSun" w:hAnsi="Times New Roman" w:cs="Mangal"/>
      <w:sz w:val="20"/>
      <w:szCs w:val="18"/>
      <w:lang w:eastAsia="zh-CN" w:bidi="hi-IN"/>
    </w:rPr>
  </w:style>
  <w:style w:type="paragraph" w:styleId="BalloonText">
    <w:name w:val="Balloon Text"/>
    <w:basedOn w:val="Normal"/>
    <w:link w:val="BalloonTextChar"/>
    <w:uiPriority w:val="99"/>
    <w:semiHidden/>
    <w:unhideWhenUsed/>
    <w:rsid w:val="00A0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2A"/>
    <w:rPr>
      <w:rFonts w:ascii="Tahoma" w:hAnsi="Tahoma" w:cs="Tahoma"/>
      <w:sz w:val="16"/>
      <w:szCs w:val="16"/>
    </w:rPr>
  </w:style>
  <w:style w:type="character" w:customStyle="1" w:styleId="Footnoteanchor">
    <w:name w:val="Footnote anchor"/>
    <w:rsid w:val="00A0222A"/>
    <w:rPr>
      <w:vertAlign w:val="superscript"/>
    </w:rPr>
  </w:style>
  <w:style w:type="paragraph" w:customStyle="1" w:styleId="Footnote">
    <w:name w:val="Footnote"/>
    <w:basedOn w:val="Normal"/>
    <w:rsid w:val="00A0222A"/>
    <w:pPr>
      <w:widowControl w:val="0"/>
      <w:suppressLineNumbers/>
      <w:suppressAutoHyphens/>
      <w:spacing w:after="0"/>
      <w:ind w:left="339" w:hanging="339"/>
    </w:pPr>
    <w:rPr>
      <w:rFonts w:ascii="Calibri" w:eastAsia="SimSun" w:hAnsi="Calibri" w:cs="Mangal"/>
      <w:sz w:val="18"/>
      <w:szCs w:val="20"/>
      <w:lang w:eastAsia="zh-CN" w:bidi="hi-IN"/>
    </w:rPr>
  </w:style>
  <w:style w:type="paragraph" w:styleId="FootnoteText">
    <w:name w:val="footnote text"/>
    <w:basedOn w:val="Normal"/>
    <w:link w:val="FootnoteTextChar"/>
    <w:uiPriority w:val="99"/>
    <w:semiHidden/>
    <w:unhideWhenUsed/>
    <w:rsid w:val="00A04CF3"/>
    <w:pPr>
      <w:spacing w:after="0" w:line="240" w:lineRule="auto"/>
    </w:pPr>
    <w:rPr>
      <w:szCs w:val="20"/>
    </w:rPr>
  </w:style>
  <w:style w:type="character" w:customStyle="1" w:styleId="FootnoteTextChar">
    <w:name w:val="Footnote Text Char"/>
    <w:basedOn w:val="DefaultParagraphFont"/>
    <w:link w:val="FootnoteText"/>
    <w:uiPriority w:val="99"/>
    <w:semiHidden/>
    <w:rsid w:val="00A04CF3"/>
    <w:rPr>
      <w:sz w:val="20"/>
      <w:szCs w:val="20"/>
    </w:rPr>
  </w:style>
  <w:style w:type="character" w:styleId="FootnoteReference">
    <w:name w:val="footnote reference"/>
    <w:basedOn w:val="DefaultParagraphFont"/>
    <w:uiPriority w:val="99"/>
    <w:semiHidden/>
    <w:unhideWhenUsed/>
    <w:rsid w:val="00A04CF3"/>
    <w:rPr>
      <w:vertAlign w:val="superscript"/>
    </w:rPr>
  </w:style>
  <w:style w:type="character" w:styleId="Hyperlink">
    <w:name w:val="Hyperlink"/>
    <w:basedOn w:val="DefaultParagraphFont"/>
    <w:uiPriority w:val="99"/>
    <w:unhideWhenUsed/>
    <w:rsid w:val="00E008D7"/>
    <w:rPr>
      <w:color w:val="0000FF" w:themeColor="hyperlink"/>
      <w:u w:val="single"/>
    </w:rPr>
  </w:style>
  <w:style w:type="character" w:customStyle="1" w:styleId="Heading3Char">
    <w:name w:val="Heading 3 Char"/>
    <w:basedOn w:val="DefaultParagraphFont"/>
    <w:link w:val="Heading3"/>
    <w:rsid w:val="00F51B3C"/>
    <w:rPr>
      <w:rFonts w:ascii="Arial" w:eastAsia="Microsoft YaHei" w:hAnsi="Arial" w:cs="Mangal"/>
      <w:b/>
      <w:bCs/>
      <w:sz w:val="28"/>
      <w:szCs w:val="28"/>
      <w:lang w:eastAsia="zh-CN" w:bidi="hi-IN"/>
    </w:rPr>
  </w:style>
  <w:style w:type="table" w:styleId="TableGrid">
    <w:name w:val="Table Grid"/>
    <w:basedOn w:val="TableNormal"/>
    <w:uiPriority w:val="59"/>
    <w:rsid w:val="00B0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35291"/>
    <w:rPr>
      <w:color w:val="800080" w:themeColor="followedHyperlink"/>
      <w:u w:val="single"/>
    </w:rPr>
  </w:style>
  <w:style w:type="paragraph" w:styleId="Caption">
    <w:name w:val="caption"/>
    <w:basedOn w:val="Normal"/>
    <w:next w:val="Normal"/>
    <w:uiPriority w:val="35"/>
    <w:unhideWhenUsed/>
    <w:qFormat/>
    <w:rsid w:val="00F5343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bif.org/occurrence/RecordNum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t.gbif.org/dataset/846d0710-f762-11e1-a439-00145eb45e9a" TargetMode="External"/><Relationship Id="rId5" Type="http://schemas.openxmlformats.org/officeDocument/2006/relationships/webSettings" Target="webSettings.xml"/><Relationship Id="rId15" Type="http://schemas.openxmlformats.org/officeDocument/2006/relationships/hyperlink" Target="mailto:eotuama@gbif.org" TargetMode="External"/><Relationship Id="rId10" Type="http://schemas.openxmlformats.org/officeDocument/2006/relationships/hyperlink" Target="http://gbrds.gbif.org/browse/agent?uuid=846d0710-f762-11e1-a439-00145eb45e9a" TargetMode="External"/><Relationship Id="rId4" Type="http://schemas.openxmlformats.org/officeDocument/2006/relationships/settings" Target="settings.xml"/><Relationship Id="rId9" Type="http://schemas.openxmlformats.org/officeDocument/2006/relationships/hyperlink" Target="http://data.gbif.org/occurrences/88475251/" TargetMode="External"/><Relationship Id="rId14" Type="http://schemas.openxmlformats.org/officeDocument/2006/relationships/hyperlink" Target="mailto:identifiers@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AAF0-0481-4AD2-BEE3-5D8D54EB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3</cp:revision>
  <dcterms:created xsi:type="dcterms:W3CDTF">2013-07-05T13:16:00Z</dcterms:created>
  <dcterms:modified xsi:type="dcterms:W3CDTF">2013-07-05T13:29:00Z</dcterms:modified>
</cp:coreProperties>
</file>